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900"/>
        <w:jc w:val="center"/>
      </w:pPr>
      <w:r>
        <w:rPr>
          <w:b/>
          <w:bCs/>
          <w:color w:val="1e293b"/>
          <w:sz w:val="40"/>
          <w:szCs w:val="40"/>
        </w:rPr>
        <w:t xml:space="preserve">SafeToOpen Browser Security</w:t>
      </w:r>
    </w:p>
    <w:p>
      <w:pPr>
        <w:spacing w:after="60"/>
        <w:jc w:val="center"/>
      </w:pPr>
      <w:r>
        <w:rPr>
          <w:b/>
          <w:bCs/>
          <w:color w:val="0f766e"/>
          <w:sz w:val="34"/>
          <w:szCs w:val="34"/>
        </w:rPr>
        <w:t xml:space="preserve">Jira Integration Guide</w:t>
      </w:r>
    </w:p>
    <w:p>
      <w:pPr>
        <w:spacing w:after="60"/>
        <w:jc w:val="center"/>
      </w:pPr>
      <w:r>
        <w:rPr>
          <w:color w:val="64748b"/>
          <w:sz w:val="24"/>
          <w:szCs w:val="24"/>
        </w:rPr>
        <w:t xml:space="preserve">Jira Software, Jira Service Management and Jira Data Center, with close-the-loop</w:t>
      </w:r>
    </w:p>
    <w:p>
      <w:pPr>
        <w:spacing w:after="400"/>
        <w:jc w:val="center"/>
      </w:pPr>
      <w:r>
        <w:rPr>
          <w:color w:val="64748b"/>
          <w:sz w:val="20"/>
          <w:szCs w:val="20"/>
        </w:rPr>
        <w:t xml:space="preserve">Guide 3 of 4  ·  September 2026</w:t>
      </w:r>
    </w:p>
    <w:p>
      <w:pPr>
        <w:spacing w:after="120"/>
      </w:pPr>
      <w:r>
        <w:rPr>
          <w:b w:val="false"/>
          <w:bCs w:val="false"/>
          <w:i w:val="false"/>
          <w:iCs w:val="false"/>
          <w:sz w:val="22"/>
          <w:szCs w:val="22"/>
        </w:rPr>
        <w:t xml:space="preserve">This guide turns every Browser Security incident into a Jira issue and reports the resolution back to SafeToOpen when the issue is done. It offers two receiving methods:</w:t>
      </w:r>
    </w:p>
    <w:p>
      <w:pPr>
        <w:pStyle w:val="ListParagraph"/>
        <w:numPr>
          <w:ilvl w:val="0"/>
          <w:numId w:val="2"/>
        </w:numPr>
        <w:spacing w:after="80"/>
      </w:pPr>
      <w:r>
        <w:rPr>
          <w:b/>
          <w:bCs/>
          <w:sz w:val="22"/>
          <w:szCs w:val="22"/>
        </w:rPr>
        <w:t xml:space="preserve">Method A – no code — </w:t>
      </w:r>
      <w:r>
        <w:rPr>
          <w:b w:val="false"/>
          <w:bCs w:val="false"/>
          <w:i w:val="false"/>
          <w:iCs w:val="false"/>
          <w:sz w:val="22"/>
          <w:szCs w:val="22"/>
        </w:rPr>
        <w:t xml:space="preserve">Jira Automation’s Incoming webhook trigger, configured entirely inside Jira. Quickest to set up; the request signature cannot be verified by Jira itself, so security rests on the unguessable webhook URL.</w:t>
      </w:r>
    </w:p>
    <w:p>
      <w:pPr>
        <w:pStyle w:val="ListParagraph"/>
        <w:numPr>
          <w:ilvl w:val="0"/>
          <w:numId w:val="2"/>
        </w:numPr>
        <w:spacing w:after="80"/>
      </w:pPr>
      <w:r>
        <w:rPr>
          <w:b/>
          <w:bCs/>
          <w:sz w:val="22"/>
          <w:szCs w:val="22"/>
        </w:rPr>
        <w:t xml:space="preserve">Method B – relay — </w:t>
      </w:r>
      <w:r>
        <w:rPr>
          <w:b w:val="false"/>
          <w:bCs w:val="false"/>
          <w:i w:val="false"/>
          <w:iCs w:val="false"/>
          <w:sz w:val="22"/>
          <w:szCs w:val="22"/>
        </w:rPr>
        <w:t xml:space="preserve">A small relay function (Node.js) that verifies the HMAC signature and creates the issue through the Jira REST API. Recommended where your policy requires signature verification or where you need routing logic (MSPs).</w:t>
      </w:r>
    </w:p>
    <w:p>
      <w:pPr>
        <w:spacing w:after="120"/>
      </w:pPr>
      <w:r>
        <w:rPr>
          <w:b w:val="false"/>
          <w:bCs w:val="false"/>
          <w:i w:val="false"/>
          <w:iCs w:val="false"/>
          <w:sz w:val="22"/>
          <w:szCs w:val="22"/>
        </w:rPr>
        <w:t xml:space="preserve">Close-the-loop (section 4) is the same for both methods and uses Jira Automation’s Send web request action.</w:t>
      </w:r>
    </w:p>
    <w:p>
      <w:pPr>
        <w:pStyle w:val="Heading2"/>
        <w:spacing w:after="120" w:before="280"/>
      </w:pPr>
      <w:r>
        <w:rPr>
          <w:color w:val="0f766e"/>
        </w:rPr>
        <w:t xml:space="preserve">What you will need</w:t>
      </w:r>
    </w:p>
    <w:p>
      <w:pPr>
        <w:pStyle w:val="ListParagraph"/>
        <w:numPr>
          <w:ilvl w:val="0"/>
          <w:numId w:val="2"/>
        </w:numPr>
        <w:spacing w:after="80"/>
      </w:pPr>
      <w:r>
        <w:rPr>
          <w:b w:val="false"/>
          <w:bCs w:val="false"/>
          <w:i w:val="false"/>
          <w:iCs w:val="false"/>
          <w:sz w:val="22"/>
          <w:szCs w:val="22"/>
        </w:rPr>
        <w:t xml:space="preserve">Jira project admin rights, and the ability to create automation rules and a custom field.</w:t>
      </w:r>
    </w:p>
    <w:p>
      <w:pPr>
        <w:pStyle w:val="ListParagraph"/>
        <w:numPr>
          <w:ilvl w:val="0"/>
          <w:numId w:val="2"/>
        </w:numPr>
        <w:spacing w:after="80"/>
      </w:pPr>
      <w:r>
        <w:rPr>
          <w:b w:val="false"/>
          <w:bCs w:val="false"/>
          <w:i w:val="false"/>
          <w:iCs w:val="false"/>
          <w:sz w:val="22"/>
          <w:szCs w:val="22"/>
        </w:rPr>
        <w:t xml:space="preserve">A project for security incidents (examples use key </w:t>
      </w:r>
      <w:r>
        <w:rPr>
          <w:rFonts w:ascii="Consolas" w:cs="Consolas" w:eastAsia="Consolas" w:hAnsi="Consolas"/>
          <w:b w:val="false"/>
          <w:bCs w:val="false"/>
          <w:i w:val="false"/>
          <w:iCs w:val="false"/>
          <w:color w:val="0f172a"/>
          <w:sz w:val="20"/>
          <w:szCs w:val="20"/>
          <w:shd w:fill="f1f5f9" w:val="clear"/>
        </w:rPr>
        <w:t xml:space="preserve">SEC</w:t>
      </w:r>
      <w:r>
        <w:rPr>
          <w:b w:val="false"/>
          <w:bCs w:val="false"/>
          <w:i w:val="false"/>
          <w:iCs w:val="false"/>
          <w:sz w:val="22"/>
          <w:szCs w:val="22"/>
        </w:rPr>
        <w:t xml:space="preserve">).</w:t>
      </w:r>
    </w:p>
    <w:p>
      <w:pPr>
        <w:pStyle w:val="ListParagraph"/>
        <w:numPr>
          <w:ilvl w:val="0"/>
          <w:numId w:val="2"/>
        </w:numPr>
        <w:spacing w:after="80"/>
      </w:pPr>
      <w:r>
        <w:rPr>
          <w:b w:val="false"/>
          <w:bCs w:val="false"/>
          <w:i w:val="false"/>
          <w:iCs w:val="false"/>
          <w:sz w:val="22"/>
          <w:szCs w:val="22"/>
        </w:rPr>
        <w:t xml:space="preserve">For Method B: somewhere to run a small HTTPS function (Azure Functions, AWS Lambda, Cloudflare Workers, or any Node host), and a Jira API token for a service account.</w:t>
      </w:r>
    </w:p>
    <w:p>
      <w:pPr>
        <w:pStyle w:val="ListParagraph"/>
        <w:numPr>
          <w:ilvl w:val="0"/>
          <w:numId w:val="2"/>
        </w:numPr>
        <w:spacing w:after="80"/>
      </w:pPr>
      <w:r>
        <w:rPr>
          <w:b w:val="false"/>
          <w:bCs w:val="false"/>
          <w:i w:val="false"/>
          <w:iCs w:val="false"/>
          <w:sz w:val="22"/>
          <w:szCs w:val="22"/>
        </w:rPr>
        <w:t xml:space="preserve">From SafeToOpen: a webhook secret (Method B) and an API token with write-back enabled (section 4).</w:t>
      </w:r>
    </w:p>
    <w:p>
      <w:pPr>
        <w:pStyle w:val="Heading1"/>
        <w:spacing w:after="160" w:before="360"/>
      </w:pPr>
      <w:r>
        <w:rPr>
          <w:color w:val="1e293b"/>
        </w:rPr>
        <w:t xml:space="preserve">1. Prepare Jira</w:t>
      </w:r>
    </w:p>
    <w:p>
      <w:pPr>
        <w:pStyle w:val="ListParagraph"/>
        <w:numPr>
          <w:ilvl w:val="0"/>
          <w:numId w:val="3"/>
        </w:numPr>
        <w:spacing w:after="80"/>
      </w:pPr>
      <w:r>
        <w:rPr>
          <w:b w:val="false"/>
          <w:bCs w:val="false"/>
          <w:i w:val="false"/>
          <w:iCs w:val="false"/>
          <w:sz w:val="22"/>
          <w:szCs w:val="22"/>
        </w:rPr>
        <w:t xml:space="preserve">Create a custom field of type Number named </w:t>
      </w:r>
      <w:r>
        <w:rPr>
          <w:rFonts w:ascii="Consolas" w:cs="Consolas" w:eastAsia="Consolas" w:hAnsi="Consolas"/>
          <w:b w:val="false"/>
          <w:bCs w:val="false"/>
          <w:i w:val="false"/>
          <w:iCs w:val="false"/>
          <w:color w:val="0f172a"/>
          <w:sz w:val="20"/>
          <w:szCs w:val="20"/>
          <w:shd w:fill="f1f5f9" w:val="clear"/>
        </w:rPr>
        <w:t xml:space="preserve">SafeToOpen Event ID</w:t>
      </w:r>
      <w:r>
        <w:rPr>
          <w:b w:val="false"/>
          <w:bCs w:val="false"/>
          <w:i w:val="false"/>
          <w:iCs w:val="false"/>
          <w:sz w:val="22"/>
          <w:szCs w:val="22"/>
        </w:rPr>
        <w:t xml:space="preserve"> and add it to the screens of the </w:t>
      </w:r>
      <w:r>
        <w:rPr>
          <w:rFonts w:ascii="Consolas" w:cs="Consolas" w:eastAsia="Consolas" w:hAnsi="Consolas"/>
          <w:b w:val="false"/>
          <w:bCs w:val="false"/>
          <w:i w:val="false"/>
          <w:iCs w:val="false"/>
          <w:color w:val="0f172a"/>
          <w:sz w:val="20"/>
          <w:szCs w:val="20"/>
          <w:shd w:fill="f1f5f9" w:val="clear"/>
        </w:rPr>
        <w:t xml:space="preserve">SEC</w:t>
      </w:r>
      <w:r>
        <w:rPr>
          <w:b w:val="false"/>
          <w:bCs w:val="false"/>
          <w:i w:val="false"/>
          <w:iCs w:val="false"/>
          <w:sz w:val="22"/>
          <w:szCs w:val="22"/>
        </w:rPr>
        <w:t xml:space="preserve"> project. It carries the event id used for deduplication and close-the-loop.</w:t>
      </w:r>
    </w:p>
    <w:p>
      <w:pPr>
        <w:pStyle w:val="ListParagraph"/>
        <w:numPr>
          <w:ilvl w:val="0"/>
          <w:numId w:val="3"/>
        </w:numPr>
        <w:spacing w:after="80"/>
      </w:pPr>
      <w:r>
        <w:rPr>
          <w:b w:val="false"/>
          <w:bCs w:val="false"/>
          <w:i w:val="false"/>
          <w:iCs w:val="false"/>
          <w:sz w:val="22"/>
          <w:szCs w:val="22"/>
        </w:rPr>
        <w:t xml:space="preserve">Optionally create a Short text field </w:t>
      </w:r>
      <w:r>
        <w:rPr>
          <w:rFonts w:ascii="Consolas" w:cs="Consolas" w:eastAsia="Consolas" w:hAnsi="Consolas"/>
          <w:b w:val="false"/>
          <w:bCs w:val="false"/>
          <w:i w:val="false"/>
          <w:iCs w:val="false"/>
          <w:color w:val="0f172a"/>
          <w:sz w:val="20"/>
          <w:szCs w:val="20"/>
          <w:shd w:fill="f1f5f9" w:val="clear"/>
        </w:rPr>
        <w:t xml:space="preserve">SafeToOpen Workspace</w:t>
      </w:r>
      <w:r>
        <w:rPr>
          <w:b w:val="false"/>
          <w:bCs w:val="false"/>
          <w:i w:val="false"/>
          <w:iCs w:val="false"/>
          <w:sz w:val="22"/>
          <w:szCs w:val="22"/>
        </w:rPr>
        <w:t xml:space="preserve">, or simply rely on labels.</w:t>
      </w:r>
    </w:p>
    <w:p>
      <w:pPr>
        <w:pStyle w:val="ListParagraph"/>
        <w:numPr>
          <w:ilvl w:val="0"/>
          <w:numId w:val="3"/>
        </w:numPr>
        <w:spacing w:after="80"/>
      </w:pPr>
      <w:r>
        <w:rPr>
          <w:b w:val="false"/>
          <w:bCs w:val="false"/>
          <w:i w:val="false"/>
          <w:iCs w:val="false"/>
          <w:sz w:val="22"/>
          <w:szCs w:val="22"/>
        </w:rPr>
        <w:t xml:space="preserve">Decide the priority mapping: critical → Highest, high → High, medium → Medium, low/weak/info → Low.</w:t>
      </w:r>
    </w:p>
    <w:p>
      <w:pPr>
        <w:pStyle w:val="Heading1"/>
        <w:spacing w:after="160" w:before="360"/>
      </w:pPr>
      <w:r>
        <w:rPr>
          <w:color w:val="1e293b"/>
        </w:rPr>
        <w:t xml:space="preserve">2. Method A: Jira Automation incoming webhook</w:t>
      </w:r>
    </w:p>
    <w:p>
      <w:pPr>
        <w:pStyle w:val="Heading2"/>
        <w:spacing w:after="120" w:before="280"/>
      </w:pPr>
      <w:r>
        <w:rPr>
          <w:color w:val="0f766e"/>
        </w:rPr>
        <w:t xml:space="preserve">2.1 Create the rule</w:t>
      </w:r>
    </w:p>
    <w:p>
      <w:pPr>
        <w:pStyle w:val="ListParagraph"/>
        <w:numPr>
          <w:ilvl w:val="0"/>
          <w:numId w:val="4"/>
        </w:numPr>
        <w:spacing w:after="80"/>
      </w:pPr>
      <w:r>
        <w:rPr>
          <w:b w:val="false"/>
          <w:bCs w:val="false"/>
          <w:i w:val="false"/>
          <w:iCs w:val="false"/>
          <w:sz w:val="22"/>
          <w:szCs w:val="22"/>
        </w:rPr>
        <w:t xml:space="preserve">Project settings → Automation → Create rule. Trigger: Incoming webhook. Choose “No issues from the webhook”. Copy the Webhook URL shown; it contains a secret token.</w:t>
      </w:r>
    </w:p>
    <w:p>
      <w:pPr>
        <w:pStyle w:val="ListParagraph"/>
        <w:numPr>
          <w:ilvl w:val="0"/>
          <w:numId w:val="4"/>
        </w:numPr>
        <w:spacing w:after="80"/>
      </w:pPr>
      <w:r>
        <w:rPr>
          <w:b w:val="false"/>
          <w:bCs w:val="false"/>
          <w:i w:val="false"/>
          <w:iCs w:val="false"/>
          <w:sz w:val="22"/>
          <w:szCs w:val="22"/>
        </w:rPr>
        <w:t xml:space="preserve">Add condition: Advanced compare condition, first value </w:t>
      </w:r>
      <w:r>
        <w:rPr>
          <w:rFonts w:ascii="Consolas" w:cs="Consolas" w:eastAsia="Consolas" w:hAnsi="Consolas"/>
          <w:b w:val="false"/>
          <w:bCs w:val="false"/>
          <w:i w:val="false"/>
          <w:iCs w:val="false"/>
          <w:color w:val="0f172a"/>
          <w:sz w:val="20"/>
          <w:szCs w:val="20"/>
          <w:shd w:fill="f1f5f9" w:val="clear"/>
        </w:rPr>
        <w:t xml:space="preserve">{{webhookData.type}}</w:t>
      </w:r>
      <w:r>
        <w:rPr>
          <w:b w:val="false"/>
          <w:bCs w:val="false"/>
          <w:i w:val="false"/>
          <w:iCs w:val="false"/>
          <w:sz w:val="22"/>
          <w:szCs w:val="22"/>
        </w:rPr>
        <w:t xml:space="preserve">, equals, </w:t>
      </w:r>
      <w:r>
        <w:rPr>
          <w:rFonts w:ascii="Consolas" w:cs="Consolas" w:eastAsia="Consolas" w:hAnsi="Consolas"/>
          <w:b w:val="false"/>
          <w:bCs w:val="false"/>
          <w:i w:val="false"/>
          <w:iCs w:val="false"/>
          <w:color w:val="0f172a"/>
          <w:sz w:val="20"/>
          <w:szCs w:val="20"/>
          <w:shd w:fill="f1f5f9" w:val="clear"/>
        </w:rPr>
        <w:t xml:space="preserve">browser_security.flagged_event</w:t>
      </w:r>
      <w:r>
        <w:rPr>
          <w:b w:val="false"/>
          <w:bCs w:val="false"/>
          <w:i w:val="false"/>
          <w:iCs w:val="false"/>
          <w:sz w:val="22"/>
          <w:szCs w:val="22"/>
        </w:rPr>
        <w:t xml:space="preserve">. This ignores the console’s test message.</w:t>
      </w:r>
    </w:p>
    <w:p>
      <w:pPr>
        <w:pStyle w:val="ListParagraph"/>
        <w:numPr>
          <w:ilvl w:val="0"/>
          <w:numId w:val="4"/>
        </w:numPr>
        <w:spacing w:after="80"/>
      </w:pPr>
      <w:r>
        <w:rPr>
          <w:b w:val="false"/>
          <w:bCs w:val="false"/>
          <w:i w:val="false"/>
          <w:iCs w:val="false"/>
          <w:sz w:val="22"/>
          <w:szCs w:val="22"/>
        </w:rPr>
        <w:t xml:space="preserve">Add action: Lookup issues, JQL: </w:t>
      </w:r>
      <w:r>
        <w:rPr>
          <w:rFonts w:ascii="Consolas" w:cs="Consolas" w:eastAsia="Consolas" w:hAnsi="Consolas"/>
          <w:b w:val="false"/>
          <w:bCs w:val="false"/>
          <w:i w:val="false"/>
          <w:iCs w:val="false"/>
          <w:color w:val="0f172a"/>
          <w:sz w:val="20"/>
          <w:szCs w:val="20"/>
          <w:shd w:fill="f1f5f9" w:val="clear"/>
        </w:rPr>
        <w:t xml:space="preserve">project = SEC AND "SafeToOpen Event ID[Number]" = {{webhookData.event.id}}</w:t>
      </w:r>
      <w:r>
        <w:rPr>
          <w:b w:val="false"/>
          <w:bCs w:val="false"/>
          <w:i w:val="false"/>
          <w:iCs w:val="false"/>
          <w:sz w:val="22"/>
          <w:szCs w:val="22"/>
        </w:rPr>
        <w:t xml:space="preserve">.</w:t>
      </w:r>
    </w:p>
    <w:p>
      <w:pPr>
        <w:pStyle w:val="ListParagraph"/>
        <w:numPr>
          <w:ilvl w:val="0"/>
          <w:numId w:val="4"/>
        </w:numPr>
        <w:spacing w:after="80"/>
      </w:pPr>
      <w:r>
        <w:rPr>
          <w:b w:val="false"/>
          <w:bCs w:val="false"/>
          <w:i w:val="false"/>
          <w:iCs w:val="false"/>
          <w:sz w:val="22"/>
          <w:szCs w:val="22"/>
        </w:rPr>
        <w:t xml:space="preserve">Add condition: Advanced compare condition, </w:t>
      </w:r>
      <w:r>
        <w:rPr>
          <w:rFonts w:ascii="Consolas" w:cs="Consolas" w:eastAsia="Consolas" w:hAnsi="Consolas"/>
          <w:b w:val="false"/>
          <w:bCs w:val="false"/>
          <w:i w:val="false"/>
          <w:iCs w:val="false"/>
          <w:color w:val="0f172a"/>
          <w:sz w:val="20"/>
          <w:szCs w:val="20"/>
          <w:shd w:fill="f1f5f9" w:val="clear"/>
        </w:rPr>
        <w:t xml:space="preserve">{{lookupIssues.size}}</w:t>
      </w:r>
      <w:r>
        <w:rPr>
          <w:b w:val="false"/>
          <w:bCs w:val="false"/>
          <w:i w:val="false"/>
          <w:iCs w:val="false"/>
          <w:sz w:val="22"/>
          <w:szCs w:val="22"/>
        </w:rPr>
        <w:t xml:space="preserve"> equals </w:t>
      </w:r>
      <w:r>
        <w:rPr>
          <w:rFonts w:ascii="Consolas" w:cs="Consolas" w:eastAsia="Consolas" w:hAnsi="Consolas"/>
          <w:b w:val="false"/>
          <w:bCs w:val="false"/>
          <w:i w:val="false"/>
          <w:iCs w:val="false"/>
          <w:color w:val="0f172a"/>
          <w:sz w:val="20"/>
          <w:szCs w:val="20"/>
          <w:shd w:fill="f1f5f9" w:val="clear"/>
        </w:rPr>
        <w:t xml:space="preserve">0</w:t>
      </w:r>
      <w:r>
        <w:rPr>
          <w:b w:val="false"/>
          <w:bCs w:val="false"/>
          <w:i w:val="false"/>
          <w:iCs w:val="false"/>
          <w:sz w:val="22"/>
          <w:szCs w:val="22"/>
        </w:rPr>
        <w:t xml:space="preserve">. This prevents duplicates when a delivery is retried.</w:t>
      </w:r>
    </w:p>
    <w:p>
      <w:pPr>
        <w:pStyle w:val="ListParagraph"/>
        <w:numPr>
          <w:ilvl w:val="0"/>
          <w:numId w:val="4"/>
        </w:numPr>
        <w:spacing w:after="80"/>
      </w:pPr>
      <w:r>
        <w:rPr>
          <w:b w:val="false"/>
          <w:bCs w:val="false"/>
          <w:i w:val="false"/>
          <w:iCs w:val="false"/>
          <w:sz w:val="22"/>
          <w:szCs w:val="22"/>
        </w:rPr>
        <w:t xml:space="preserve">Add an If / else block on </w:t>
      </w:r>
      <w:r>
        <w:rPr>
          <w:rFonts w:ascii="Consolas" w:cs="Consolas" w:eastAsia="Consolas" w:hAnsi="Consolas"/>
          <w:b w:val="false"/>
          <w:bCs w:val="false"/>
          <w:i w:val="false"/>
          <w:iCs w:val="false"/>
          <w:color w:val="0f172a"/>
          <w:sz w:val="20"/>
          <w:szCs w:val="20"/>
          <w:shd w:fill="f1f5f9" w:val="clear"/>
        </w:rPr>
        <w:t xml:space="preserve">{{webhookData.event.severity}}</w:t>
      </w:r>
      <w:r>
        <w:rPr>
          <w:b w:val="false"/>
          <w:bCs w:val="false"/>
          <w:i w:val="false"/>
          <w:iCs w:val="false"/>
          <w:sz w:val="22"/>
          <w:szCs w:val="22"/>
        </w:rPr>
        <w:t xml:space="preserve">: one branch per severity, each with a Create issue action that only differs in Priority. Fields for Create issue are in the table below.</w:t>
      </w:r>
    </w:p>
    <w:p>
      <w:pPr>
        <w:pStyle w:val="ListParagraph"/>
        <w:numPr>
          <w:ilvl w:val="0"/>
          <w:numId w:val="4"/>
        </w:numPr>
        <w:spacing w:after="80"/>
      </w:pPr>
      <w:r>
        <w:rPr>
          <w:b w:val="false"/>
          <w:bCs w:val="false"/>
          <w:i w:val="false"/>
          <w:iCs w:val="false"/>
          <w:sz w:val="22"/>
          <w:szCs w:val="22"/>
        </w:rPr>
        <w:t xml:space="preserve">Turn the rule 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6426"/>
      </w:tblGrid>
      <w:tr>
        <w:trPr>
          <w:tblHeader/>
        </w:trPr>
        <w:tc>
          <w:tcPr>
            <w:tcW w:type="dxa" w:w="2600"/>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Create issue field</w:t>
            </w:r>
          </w:p>
        </w:tc>
        <w:tc>
          <w:tcPr>
            <w:tcW w:type="dxa" w:w="6426"/>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Value</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Project / Issue type</w:t>
            </w:r>
          </w:p>
        </w:tc>
        <w:tc>
          <w:tcPr>
            <w:tcW w:type="dxa" w:w="6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SEC / Incident (or Task)</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Summary</w:t>
            </w:r>
          </w:p>
        </w:tc>
        <w:tc>
          <w:tcPr>
            <w:tcW w:type="dxa" w:w="6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f1f5f9" w:val="clear"/>
              </w:rPr>
              <w:t xml:space="preserve">[SafeToOpen] {{webhookData.event.severity.toUpperCase}} {{webhookData.event.event_kind}} - {{webhookData.event.url_host}}</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Description</w:t>
            </w:r>
          </w:p>
        </w:tc>
        <w:tc>
          <w:tcPr>
            <w:tcW w:type="dxa" w:w="6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See the template below</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Priority</w:t>
            </w:r>
          </w:p>
        </w:tc>
        <w:tc>
          <w:tcPr>
            <w:tcW w:type="dxa" w:w="6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Per branch: Highest, High, Medium, Low</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Labels</w:t>
            </w:r>
          </w:p>
        </w:tc>
        <w:tc>
          <w:tcPr>
            <w:tcW w:type="dxa" w:w="6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f1f5f9" w:val="clear"/>
              </w:rPr>
              <w:t xml:space="preserve">safetoopen</w:t>
            </w:r>
            <w:r>
              <w:rPr>
                <w:b w:val="false"/>
                <w:bCs w:val="false"/>
                <w:i w:val="false"/>
                <w:iCs w:val="false"/>
                <w:color w:val="334155"/>
                <w:sz w:val="20"/>
                <w:szCs w:val="20"/>
              </w:rPr>
              <w:t xml:space="preserve"> and </w:t>
            </w:r>
            <w:r>
              <w:rPr>
                <w:rFonts w:ascii="Consolas" w:cs="Consolas" w:eastAsia="Consolas" w:hAnsi="Consolas"/>
                <w:b w:val="false"/>
                <w:bCs w:val="false"/>
                <w:i w:val="false"/>
                <w:iCs w:val="false"/>
                <w:color w:val="0f172a"/>
                <w:sz w:val="18"/>
                <w:szCs w:val="18"/>
                <w:shd w:fill="f1f5f9" w:val="clear"/>
              </w:rPr>
              <w:t xml:space="preserve">{{webhookData.event.workspace}}</w:t>
            </w:r>
            <w:r>
              <w:rPr>
                <w:b w:val="false"/>
                <w:bCs w:val="false"/>
                <w:i w:val="false"/>
                <w:iCs w:val="false"/>
                <w:color w:val="334155"/>
                <w:sz w:val="20"/>
                <w:szCs w:val="20"/>
              </w:rPr>
              <w:t xml:space="preserve"> (workspace names contain no spaces)</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SafeToOpen Event ID</w:t>
            </w:r>
          </w:p>
        </w:tc>
        <w:tc>
          <w:tcPr>
            <w:tcW w:type="dxa" w:w="6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f1f5f9" w:val="clear"/>
              </w:rPr>
              <w:t xml:space="preserve">{{webhookData.event.id}}</w:t>
            </w:r>
          </w:p>
        </w:tc>
      </w:tr>
    </w:tbl>
    <w:p>
      <w:pPr>
        <w:spacing w:after="120"/>
      </w:pPr>
      <w:r>
        <w:rPr>
          <w:b w:val="false"/>
          <w:bCs w:val="false"/>
          <w:i w:val="false"/>
          <w:iCs w:val="false"/>
          <w:sz w:val="22"/>
          <w:szCs w:val="22"/>
        </w:rPr>
        <w:t xml:space="preserve">Description template (Jira wiki markup; the URL is defanged so it never becomes a live link):</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*SafeToOpen Browser Security event* #{{webhookData.event.id}}</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Occurred (UTC): {{webhookData.event.occurred_at}}</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Workspace: {{webhookData.event.workspace}}</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Member: {{webhookData.event.member_email}}</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Severity: {{webhookData.event.severity}}   Event kind: {{webhookData.event.event_kind}}</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URL (defanged): {{webhookData.event.url.replace("://",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Host: {{webhookData.event.url_host}}   Brand match: {{webhookData.event.brand_match}}</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Trust score: {{webhookData.event.trust_score}}</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Reason: {{webhookData.event.finding_reason}}</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Page title: {{webhookData.event.page_title}}   Referrer: {{webhookData.event.referrer_host}}</w:t>
      </w:r>
    </w:p>
    <w:p>
      <w:pPr>
        <w:keepNext w:val="false"/>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Console: https://plus.safetoopen.com/business-console#/incidents/{{webhookData.event.id}}</w:t>
      </w:r>
    </w:p>
    <w:p>
      <w:pPr>
        <w:spacing w:after="120"/>
      </w:pPr>
    </w:p>
    <w:p>
      <w:pPr>
        <w:pStyle w:val="Heading2"/>
        <w:spacing w:after="120" w:before="280"/>
      </w:pPr>
      <w:r>
        <w:rPr>
          <w:color w:val="0f766e"/>
        </w:rPr>
        <w:t xml:space="preserve">2.2 Register the webhook in SafeToOpen</w:t>
      </w:r>
    </w:p>
    <w:p>
      <w:pPr>
        <w:pStyle w:val="ListParagraph"/>
        <w:numPr>
          <w:ilvl w:val="0"/>
          <w:numId w:val="5"/>
        </w:numPr>
        <w:spacing w:after="80"/>
      </w:pPr>
      <w:r>
        <w:rPr>
          <w:b w:val="false"/>
          <w:bCs w:val="false"/>
          <w:i w:val="false"/>
          <w:iCs w:val="false"/>
          <w:sz w:val="22"/>
          <w:szCs w:val="22"/>
        </w:rPr>
        <w:t xml:space="preserve">Business Console → Integrations → Add webhook. Name “Jira – SEC”. Endpoint URL: the Jira automation webhook URL.</w:t>
      </w:r>
    </w:p>
    <w:p>
      <w:pPr>
        <w:pStyle w:val="ListParagraph"/>
        <w:numPr>
          <w:ilvl w:val="0"/>
          <w:numId w:val="5"/>
        </w:numPr>
        <w:spacing w:after="80"/>
      </w:pPr>
      <w:r>
        <w:rPr>
          <w:b w:val="false"/>
          <w:bCs w:val="false"/>
          <w:i w:val="false"/>
          <w:iCs w:val="false"/>
          <w:sz w:val="22"/>
          <w:szCs w:val="22"/>
        </w:rPr>
        <w:t xml:space="preserve">Workspaces: the workspaces this project should receive. Send: all severities, or high and critical only.</w:t>
      </w:r>
    </w:p>
    <w:p>
      <w:pPr>
        <w:pStyle w:val="ListParagraph"/>
        <w:numPr>
          <w:ilvl w:val="0"/>
          <w:numId w:val="5"/>
        </w:numPr>
        <w:spacing w:after="80"/>
      </w:pPr>
      <w:r>
        <w:rPr>
          <w:b w:val="false"/>
          <w:bCs w:val="false"/>
          <w:i w:val="false"/>
          <w:iCs w:val="false"/>
          <w:sz w:val="22"/>
          <w:szCs w:val="22"/>
        </w:rPr>
        <w:t xml:space="preserve">Click Add webhook. The secret is not used by Method A; keep it anyway in case you move to Method B.</w:t>
      </w:r>
    </w:p>
    <w:p>
      <w:pPr>
        <w:pStyle w:val="ListParagraph"/>
        <w:numPr>
          <w:ilvl w:val="0"/>
          <w:numId w:val="5"/>
        </w:numPr>
        <w:spacing w:after="80"/>
      </w:pPr>
      <w:r>
        <w:rPr>
          <w:b w:val="false"/>
          <w:bCs w:val="false"/>
          <w:i w:val="false"/>
          <w:iCs w:val="false"/>
          <w:sz w:val="22"/>
          <w:szCs w:val="22"/>
        </w:rPr>
        <w:t xml:space="preserve">Click Test. Jira answers 2xx; the rule’s audit log shows the run stopped at the type condition, and no issue is created.</w:t>
      </w:r>
    </w:p>
    <w:p>
      <w:pPr>
        <w:pBdr>
          <w:left w:val="single" w:color="ea580c" w:sz="18" w:space="8"/>
        </w:pBdr>
        <w:shd w:fill="fff7ed" w:val="clear"/>
        <w:spacing w:after="160" w:before="80"/>
        <w:ind w:left="120"/>
      </w:pPr>
      <w:r>
        <w:rPr>
          <w:b/>
          <w:bCs/>
          <w:color w:val="9a3412"/>
          <w:sz w:val="22"/>
          <w:szCs w:val="22"/>
        </w:rPr>
        <w:t xml:space="preserve">Important: </w:t>
      </w:r>
      <w:r>
        <w:rPr>
          <w:b w:val="false"/>
          <w:bCs w:val="false"/>
          <w:i w:val="false"/>
          <w:iCs w:val="false"/>
          <w:sz w:val="22"/>
          <w:szCs w:val="22"/>
        </w:rPr>
        <w:t xml:space="preserve">Jira Automation cannot compute HMAC signatures, so the </w:t>
      </w:r>
      <w:r>
        <w:rPr>
          <w:rFonts w:ascii="Consolas" w:cs="Consolas" w:eastAsia="Consolas" w:hAnsi="Consolas"/>
          <w:b w:val="false"/>
          <w:bCs w:val="false"/>
          <w:i w:val="false"/>
          <w:iCs w:val="false"/>
          <w:color w:val="0f172a"/>
          <w:sz w:val="20"/>
          <w:szCs w:val="20"/>
          <w:shd w:fill="f1f5f9" w:val="clear"/>
        </w:rPr>
        <w:t xml:space="preserve">X-STO-Signature</w:t>
      </w:r>
      <w:r>
        <w:rPr>
          <w:b w:val="false"/>
          <w:bCs w:val="false"/>
          <w:i w:val="false"/>
          <w:iCs w:val="false"/>
          <w:sz w:val="22"/>
          <w:szCs w:val="22"/>
        </w:rPr>
        <w:t xml:space="preserve"> header is not checked in Method A. Anyone who learns the webhook URL could create issues. Keep the URL out of tickets and chat, regenerate it from the rule if it is exposed, and prefer Method B for higher-assurance environments.</w:t>
      </w:r>
    </w:p>
    <w:p>
      <w:pPr>
        <w:pStyle w:val="Heading3"/>
        <w:spacing w:after="80" w:before="200"/>
      </w:pPr>
      <w:r>
        <w:rPr>
          <w:color w:val="1e293b"/>
        </w:rPr>
        <w:t xml:space="preserve">MSPs with a project per customer</w:t>
      </w:r>
    </w:p>
    <w:p>
      <w:pPr>
        <w:spacing w:after="120"/>
      </w:pPr>
      <w:r>
        <w:rPr>
          <w:b w:val="false"/>
          <w:bCs w:val="false"/>
          <w:i w:val="false"/>
          <w:iCs w:val="false"/>
          <w:sz w:val="22"/>
          <w:szCs w:val="22"/>
        </w:rPr>
        <w:t xml:space="preserve">Create one SafeToOpen webhook per customer, each filtered to that customer’s workspace and pointing at a rule in the matching project. Alternatively, one rule can branch on </w:t>
      </w:r>
      <w:r>
        <w:rPr>
          <w:rFonts w:ascii="Consolas" w:cs="Consolas" w:eastAsia="Consolas" w:hAnsi="Consolas"/>
          <w:b w:val="false"/>
          <w:bCs w:val="false"/>
          <w:i w:val="false"/>
          <w:iCs w:val="false"/>
          <w:color w:val="0f172a"/>
          <w:sz w:val="20"/>
          <w:szCs w:val="20"/>
          <w:shd w:fill="f1f5f9" w:val="clear"/>
        </w:rPr>
        <w:t xml:space="preserve">{{webhookData.event.workspace}}</w:t>
      </w:r>
      <w:r>
        <w:rPr>
          <w:b w:val="false"/>
          <w:bCs w:val="false"/>
          <w:i w:val="false"/>
          <w:iCs w:val="false"/>
          <w:sz w:val="22"/>
          <w:szCs w:val="22"/>
        </w:rPr>
        <w:t xml:space="preserve"> and create the issue in the right project.</w:t>
      </w:r>
    </w:p>
    <w:p>
      <w:pPr>
        <w:pStyle w:val="Heading1"/>
        <w:spacing w:after="160" w:before="360"/>
      </w:pPr>
      <w:r>
        <w:rPr>
          <w:color w:val="1e293b"/>
        </w:rPr>
        <w:t xml:space="preserve">3. Method B: signature-verifying relay</w:t>
      </w:r>
    </w:p>
    <w:p>
      <w:pPr>
        <w:spacing w:after="120"/>
      </w:pPr>
      <w:r>
        <w:rPr>
          <w:b w:val="false"/>
          <w:bCs w:val="false"/>
          <w:i w:val="false"/>
          <w:iCs w:val="false"/>
          <w:sz w:val="22"/>
          <w:szCs w:val="22"/>
        </w:rPr>
        <w:t xml:space="preserve">The relay receives the SafeToOpen webhook, verifies the signature and timestamp, deduplicates, and creates the issue through the Jira Cloud REST API v3. It runs on Node.js 18 or later with no dependencies. Configure it through environment variables: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rPr>
          <w:tblHeader/>
        </w:trPr>
        <w:tc>
          <w:tcPr>
            <w:tcW w:type="dxa" w:w="2800"/>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Variable</w:t>
            </w:r>
          </w:p>
        </w:tc>
        <w:tc>
          <w:tcPr>
            <w:tcW w:type="dxa" w:w="6226"/>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Value</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f1f5f9" w:val="clear"/>
              </w:rPr>
              <w:t xml:space="preserve">STO_WEBHOOK_SECRET</w:t>
            </w:r>
          </w:p>
        </w:tc>
        <w:tc>
          <w:tcPr>
            <w:tcW w:type="dxa" w:w="6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secret shown when the webhook was created in SafeToOpen</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f1f5f9" w:val="clear"/>
              </w:rPr>
              <w:t xml:space="preserve">JIRA_BASE</w:t>
            </w:r>
          </w:p>
        </w:tc>
        <w:tc>
          <w:tcPr>
            <w:tcW w:type="dxa" w:w="6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f1f5f9" w:val="clear"/>
              </w:rPr>
              <w:t xml:space="preserve">https://&lt;your-site&gt;.atlassian.net</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f1f5f9" w:val="clear"/>
              </w:rPr>
              <w:t xml:space="preserve">JIRA_USER</w:t>
            </w:r>
          </w:p>
        </w:tc>
        <w:tc>
          <w:tcPr>
            <w:tcW w:type="dxa" w:w="6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Email address of a Jira service account</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f1f5f9" w:val="clear"/>
              </w:rPr>
              <w:t xml:space="preserve">JIRA_API_TOKEN</w:t>
            </w:r>
          </w:p>
        </w:tc>
        <w:tc>
          <w:tcPr>
            <w:tcW w:type="dxa" w:w="6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API token created for that account at id.atlassian.com</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f1f5f9" w:val="clear"/>
              </w:rPr>
              <w:t xml:space="preserve">JIRA_PROJECT</w:t>
            </w:r>
          </w:p>
        </w:tc>
        <w:tc>
          <w:tcPr>
            <w:tcW w:type="dxa" w:w="6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Project key, for example </w:t>
            </w:r>
            <w:r>
              <w:rPr>
                <w:rFonts w:ascii="Consolas" w:cs="Consolas" w:eastAsia="Consolas" w:hAnsi="Consolas"/>
                <w:b w:val="false"/>
                <w:bCs w:val="false"/>
                <w:i w:val="false"/>
                <w:iCs w:val="false"/>
                <w:color w:val="0f172a"/>
                <w:sz w:val="18"/>
                <w:szCs w:val="18"/>
                <w:shd w:fill="f1f5f9" w:val="clear"/>
              </w:rPr>
              <w:t xml:space="preserve">SEC</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f1f5f9" w:val="clear"/>
              </w:rPr>
              <w:t xml:space="preserve">JIRA_EVENT_FIELD</w:t>
            </w:r>
          </w:p>
        </w:tc>
        <w:tc>
          <w:tcPr>
            <w:tcW w:type="dxa" w:w="6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custom field id of “SafeToOpen Event ID”, for example </w:t>
            </w:r>
            <w:r>
              <w:rPr>
                <w:rFonts w:ascii="Consolas" w:cs="Consolas" w:eastAsia="Consolas" w:hAnsi="Consolas"/>
                <w:b w:val="false"/>
                <w:bCs w:val="false"/>
                <w:i w:val="false"/>
                <w:iCs w:val="false"/>
                <w:color w:val="0f172a"/>
                <w:sz w:val="18"/>
                <w:szCs w:val="18"/>
                <w:shd w:fill="f1f5f9" w:val="clear"/>
              </w:rPr>
              <w:t xml:space="preserve">customfield_10042</w:t>
            </w:r>
          </w:p>
        </w:tc>
      </w:tr>
    </w:tbl>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sto-jira-relay.js — Node 18+. Run behind HTTPS (cloud function or reverse proxy).</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const http = require('http');</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const crypto = require('crypto');</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const env = process.env;</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function verify(headers, raw)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const sig = Object.fromEntries((headers['x-sto-signature'] || '').split(',').map(kv =&gt; kv.split('=')));</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if (!/^\d+$/.test(sig.t || '') || Math.abs(Date.now() / 1000 - Number(sig.t)) &gt; 300) return false;</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const expected = crypto.createHmac('sha256', env.STO_WEBHOOK_SECRET).update(sig.t + '.').update(raw).digest('hex');</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const a = Buffer.from(expected), b = Buffer.from(String(sig.v1 ||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return a.length === b.length &amp;&amp; crypto.timingSafeEqual(a, b);</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const auth = 'Basic ' + Buffer.from(env.JIRA_USER + ':' + env.JIRA_API_TOKEN).toString('base64');</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async function jira(path, method, body)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const res = await fetch(env.JIRA_BASE + path, { method, headers: { Authorization: auth, 'Content-Type': 'application/json', Accept: 'application/json' }, body: body ? JSON.stringify(body) : undefined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if (!res.ok) throw new Error('Jira ' + res.status + ' ' + await res.text());</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return res.json();</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const PRIORITY = { critical: 'Highest', high: 'High', medium: 'Medium', low: 'Low', weak: 'Low', info: 'Low'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const text = s =&gt; ({ type: 'paragraph', content: [{ type: 'text', text: String(s) }]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async function createIssue(ev)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const jql = 'project = ' + env.JIRA_PROJECT + ' AND cf[' + env.JIRA_EVENT_FIELD.replace('customfield_', '') + '] = ' + ev.id;</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const found = await jira('/rest/api/3/search?maxResults=1&amp;jql=' + encodeURIComponent(jql), 'GET');</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if (found.total &gt; 0) return;                                        // retried delivery — already exists</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const safeUrl = String(ev.url || '').replace('://',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const fields =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project: { key: env.JIRA_PROJECT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issuetype: { name: 'Task'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summary: '[SafeToOpen] ' + String(ev.severity).toUpperCase() + ' ' + ev.event_kind + ' - ' + (ev.url_host ||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priority: { name: PRIORITY[ev.severity] || 'Medium'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labels: ['safetoopen'].concat(ev.workspace ? [ev.workspace] :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description: { type: 'doc', version: 1, content: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text('SafeToOpen Browser Security event #' + ev.id + ' at ' + ev.occurred_at + ' UTC'),</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text('Workspace: ' + (ev.workspace || 'default') + '   Member: ' + (ev.member_email ||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text('URL (defanged): ' + safeUrl + '   Host: ' + (ev.url_host || '') + '   Brand: ' + (ev.brand_match ||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text('Trust score: ' + (ev.trust_score ?? '-') + '   Reason: ' + (ev.finding_reason ||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text('Console: https://plus.safetoopen.com/business-console#/incidents/' + ev.id),</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fields[env.JIRA_EVENT_FIELD] = ev.id;</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await jira('/rest/api/3/issue', 'POST', { fields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http.createServer((req, res) =&gt;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const chunks =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req.on('data', c =&gt; chunks.push(c));</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req.on('end', async () =&gt;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const raw = Buffer.concat(chunks);</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if (req.method !== 'POST' || !verify(req.headers, raw)) { res.writeHead(401); return res.end();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try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const data = JSON.parse(raw.toString('utf8'));</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if (!data.test &amp;&amp; data.event &amp;&amp; data.event.id) await createIssue(data.event);</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res.writeHead(200); res.end();</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 catch (e) { console.error(e); res.writeHead(500); res.end(); }   // 5xx → SafeToOpen retries</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w:t>
      </w:r>
    </w:p>
    <w:p>
      <w:pPr>
        <w:keepNext w:val="false"/>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}).listen(process.env.PORT || 8080);</w:t>
      </w:r>
    </w:p>
    <w:p>
      <w:pPr>
        <w:spacing w:after="120"/>
      </w:pPr>
    </w:p>
    <w:p>
      <w:pPr>
        <w:spacing w:after="40" w:before="40"/>
      </w:pPr>
      <w:r>
        <w:rPr>
          <w:i/>
          <w:iCs/>
          <w:color w:val="64748b"/>
          <w:sz w:val="20"/>
          <w:szCs w:val="20"/>
        </w:rPr>
        <w:t xml:space="preserve">Reference relay. Adapt the handler signature for your function platform; the verify() and createIssue() parts are platform-independent.</w:t>
      </w:r>
    </w:p>
    <w:p>
      <w:pPr>
        <w:pStyle w:val="ListParagraph"/>
        <w:numPr>
          <w:ilvl w:val="0"/>
          <w:numId w:val="6"/>
        </w:numPr>
        <w:spacing w:after="80"/>
      </w:pPr>
      <w:r>
        <w:rPr>
          <w:b w:val="false"/>
          <w:bCs w:val="false"/>
          <w:i w:val="false"/>
          <w:iCs w:val="false"/>
          <w:sz w:val="22"/>
          <w:szCs w:val="22"/>
        </w:rPr>
        <w:t xml:space="preserve">Deploy the relay and note its public HTTPS URL.</w:t>
      </w:r>
    </w:p>
    <w:p>
      <w:pPr>
        <w:pStyle w:val="ListParagraph"/>
        <w:numPr>
          <w:ilvl w:val="0"/>
          <w:numId w:val="6"/>
        </w:numPr>
        <w:spacing w:after="80"/>
      </w:pPr>
      <w:r>
        <w:rPr>
          <w:b w:val="false"/>
          <w:bCs w:val="false"/>
          <w:i w:val="false"/>
          <w:iCs w:val="false"/>
          <w:sz w:val="22"/>
          <w:szCs w:val="22"/>
        </w:rPr>
        <w:t xml:space="preserve">Business Console → Integrations → Add webhook with that URL, copy the secret into </w:t>
      </w:r>
      <w:r>
        <w:rPr>
          <w:rFonts w:ascii="Consolas" w:cs="Consolas" w:eastAsia="Consolas" w:hAnsi="Consolas"/>
          <w:b w:val="false"/>
          <w:bCs w:val="false"/>
          <w:i w:val="false"/>
          <w:iCs w:val="false"/>
          <w:color w:val="0f172a"/>
          <w:sz w:val="20"/>
          <w:szCs w:val="20"/>
          <w:shd w:fill="f1f5f9" w:val="clear"/>
        </w:rPr>
        <w:t xml:space="preserve">STO_WEBHOOK_SECRET</w:t>
      </w:r>
      <w:r>
        <w:rPr>
          <w:b w:val="false"/>
          <w:bCs w:val="false"/>
          <w:i w:val="false"/>
          <w:iCs w:val="false"/>
          <w:sz w:val="22"/>
          <w:szCs w:val="22"/>
        </w:rPr>
        <w:t xml:space="preserve">, restart the relay.</w:t>
      </w:r>
    </w:p>
    <w:p>
      <w:pPr>
        <w:pStyle w:val="ListParagraph"/>
        <w:numPr>
          <w:ilvl w:val="0"/>
          <w:numId w:val="6"/>
        </w:numPr>
        <w:spacing w:after="80"/>
      </w:pPr>
      <w:r>
        <w:rPr>
          <w:b w:val="false"/>
          <w:bCs w:val="false"/>
          <w:i w:val="false"/>
          <w:iCs w:val="false"/>
          <w:sz w:val="22"/>
          <w:szCs w:val="22"/>
        </w:rPr>
        <w:t xml:space="preserve">Click Test: expect “test ok: HTTP 200” and no issue in Jira.</w:t>
      </w:r>
    </w:p>
    <w:p>
      <w:pPr>
        <w:spacing w:after="120"/>
      </w:pPr>
      <w:r>
        <w:rPr>
          <w:b w:val="false"/>
          <w:bCs w:val="false"/>
          <w:i w:val="false"/>
          <w:iCs w:val="false"/>
          <w:sz w:val="22"/>
          <w:szCs w:val="22"/>
        </w:rPr>
        <w:t xml:space="preserve">For Jira Data Center use </w:t>
      </w:r>
      <w:r>
        <w:rPr>
          <w:rFonts w:ascii="Consolas" w:cs="Consolas" w:eastAsia="Consolas" w:hAnsi="Consolas"/>
          <w:b w:val="false"/>
          <w:bCs w:val="false"/>
          <w:i w:val="false"/>
          <w:iCs w:val="false"/>
          <w:color w:val="0f172a"/>
          <w:sz w:val="20"/>
          <w:szCs w:val="20"/>
          <w:shd w:fill="f1f5f9" w:val="clear"/>
        </w:rPr>
        <w:t xml:space="preserve">/rest/api/2/issue</w:t>
      </w:r>
      <w:r>
        <w:rPr>
          <w:b w:val="false"/>
          <w:bCs w:val="false"/>
          <w:i w:val="false"/>
          <w:iCs w:val="false"/>
          <w:sz w:val="22"/>
          <w:szCs w:val="22"/>
        </w:rPr>
        <w:t xml:space="preserve"> with a plain-text description and a personal access token (</w:t>
      </w:r>
      <w:r>
        <w:rPr>
          <w:rFonts w:ascii="Consolas" w:cs="Consolas" w:eastAsia="Consolas" w:hAnsi="Consolas"/>
          <w:b w:val="false"/>
          <w:bCs w:val="false"/>
          <w:i w:val="false"/>
          <w:iCs w:val="false"/>
          <w:color w:val="0f172a"/>
          <w:sz w:val="20"/>
          <w:szCs w:val="20"/>
          <w:shd w:fill="f1f5f9" w:val="clear"/>
        </w:rPr>
        <w:t xml:space="preserve">Authorization: Bearer</w:t>
      </w:r>
      <w:r>
        <w:rPr>
          <w:b w:val="false"/>
          <w:bCs w:val="false"/>
          <w:i w:val="false"/>
          <w:iCs w:val="false"/>
          <w:sz w:val="22"/>
          <w:szCs w:val="22"/>
        </w:rPr>
        <w:t xml:space="preserve">).</w:t>
      </w:r>
    </w:p>
    <w:p>
      <w:pPr>
        <w:pStyle w:val="Heading1"/>
        <w:spacing w:after="160" w:before="360"/>
      </w:pPr>
      <w:r>
        <w:rPr>
          <w:color w:val="1e293b"/>
        </w:rPr>
        <w:t xml:space="preserve">4. Close the loop: report the resolution back</w:t>
      </w:r>
    </w:p>
    <w:p>
      <w:pPr>
        <w:spacing w:after="120"/>
      </w:pPr>
      <w:r>
        <w:rPr>
          <w:b w:val="false"/>
          <w:bCs w:val="false"/>
          <w:i w:val="false"/>
          <w:iCs w:val="false"/>
          <w:sz w:val="22"/>
          <w:szCs w:val="22"/>
        </w:rPr>
        <w:t xml:space="preserve">A second automation rule calls SafeToOpen when an issue transitions to Done. Resolutions that mean “nothing was wrong” are reported as </w:t>
      </w:r>
      <w:r>
        <w:rPr>
          <w:rFonts w:ascii="Consolas" w:cs="Consolas" w:eastAsia="Consolas" w:hAnsi="Consolas"/>
          <w:b w:val="false"/>
          <w:bCs w:val="false"/>
          <w:i w:val="false"/>
          <w:iCs w:val="false"/>
          <w:color w:val="0f172a"/>
          <w:sz w:val="20"/>
          <w:szCs w:val="20"/>
          <w:shd w:fill="f1f5f9" w:val="clear"/>
        </w:rPr>
        <w:t xml:space="preserve">ok</w:t>
      </w:r>
      <w:r>
        <w:rPr>
          <w:b w:val="false"/>
          <w:bCs w:val="false"/>
          <w:i w:val="false"/>
          <w:iCs w:val="false"/>
          <w:sz w:val="22"/>
          <w:szCs w:val="22"/>
        </w:rPr>
        <w:t xml:space="preserve">; everything else as </w:t>
      </w:r>
      <w:r>
        <w:rPr>
          <w:rFonts w:ascii="Consolas" w:cs="Consolas" w:eastAsia="Consolas" w:hAnsi="Consolas"/>
          <w:b w:val="false"/>
          <w:bCs w:val="false"/>
          <w:i w:val="false"/>
          <w:iCs w:val="false"/>
          <w:color w:val="0f172a"/>
          <w:sz w:val="20"/>
          <w:szCs w:val="20"/>
          <w:shd w:fill="f1f5f9" w:val="clear"/>
        </w:rPr>
        <w:t xml:space="preserve">issue</w:t>
      </w:r>
      <w:r>
        <w:rPr>
          <w:b w:val="false"/>
          <w:bCs w:val="false"/>
          <w:i w:val="false"/>
          <w:iCs w:val="false"/>
          <w:sz w:val="22"/>
          <w:szCs w:val="22"/>
        </w:rPr>
        <w:t xml:space="preserve">. Works for both methods.</w:t>
      </w:r>
    </w:p>
    <w:p>
      <w:pPr>
        <w:pStyle w:val="ListParagraph"/>
        <w:numPr>
          <w:ilvl w:val="0"/>
          <w:numId w:val="7"/>
        </w:numPr>
        <w:spacing w:after="80"/>
      </w:pPr>
      <w:r>
        <w:rPr>
          <w:b w:val="false"/>
          <w:bCs w:val="false"/>
          <w:i w:val="false"/>
          <w:iCs w:val="false"/>
          <w:sz w:val="22"/>
          <w:szCs w:val="22"/>
        </w:rPr>
        <w:t xml:space="preserve">In SafeToOpen create an API token named “Jira close-the-loop” with Allow write-back ticked, scoped to the same workspaces as the webhook. Copy the token.</w:t>
      </w:r>
    </w:p>
    <w:p>
      <w:pPr>
        <w:pStyle w:val="ListParagraph"/>
        <w:numPr>
          <w:ilvl w:val="0"/>
          <w:numId w:val="7"/>
        </w:numPr>
        <w:spacing w:after="80"/>
      </w:pPr>
      <w:r>
        <w:rPr>
          <w:b w:val="false"/>
          <w:bCs w:val="false"/>
          <w:i w:val="false"/>
          <w:iCs w:val="false"/>
          <w:sz w:val="22"/>
          <w:szCs w:val="22"/>
        </w:rPr>
        <w:t xml:space="preserve">Project settings → Automation → Create rule. Trigger: Issue transitioned, To status: Done.</w:t>
      </w:r>
    </w:p>
    <w:p>
      <w:pPr>
        <w:pStyle w:val="ListParagraph"/>
        <w:numPr>
          <w:ilvl w:val="0"/>
          <w:numId w:val="7"/>
        </w:numPr>
        <w:spacing w:after="80"/>
      </w:pPr>
      <w:r>
        <w:rPr>
          <w:b w:val="false"/>
          <w:bCs w:val="false"/>
          <w:i w:val="false"/>
          <w:iCs w:val="false"/>
          <w:sz w:val="22"/>
          <w:szCs w:val="22"/>
        </w:rPr>
        <w:t xml:space="preserve">Condition: Issue fields condition, Labels contains </w:t>
      </w:r>
      <w:r>
        <w:rPr>
          <w:rFonts w:ascii="Consolas" w:cs="Consolas" w:eastAsia="Consolas" w:hAnsi="Consolas"/>
          <w:b w:val="false"/>
          <w:bCs w:val="false"/>
          <w:i w:val="false"/>
          <w:iCs w:val="false"/>
          <w:color w:val="0f172a"/>
          <w:sz w:val="20"/>
          <w:szCs w:val="20"/>
          <w:shd w:fill="f1f5f9" w:val="clear"/>
        </w:rPr>
        <w:t xml:space="preserve">safetoopen</w:t>
      </w:r>
      <w:r>
        <w:rPr>
          <w:b w:val="false"/>
          <w:bCs w:val="false"/>
          <w:i w:val="false"/>
          <w:iCs w:val="false"/>
          <w:sz w:val="22"/>
          <w:szCs w:val="22"/>
        </w:rPr>
        <w:t xml:space="preserve"> (or “SafeToOpen Event ID” is not empty).</w:t>
      </w:r>
    </w:p>
    <w:p>
      <w:pPr>
        <w:pStyle w:val="ListParagraph"/>
        <w:numPr>
          <w:ilvl w:val="0"/>
          <w:numId w:val="7"/>
        </w:numPr>
        <w:spacing w:after="80"/>
      </w:pPr>
      <w:r>
        <w:rPr>
          <w:b w:val="false"/>
          <w:bCs w:val="false"/>
          <w:i w:val="false"/>
          <w:iCs w:val="false"/>
          <w:sz w:val="22"/>
          <w:szCs w:val="22"/>
        </w:rPr>
        <w:t xml:space="preserve">Add an If / else block: If Resolution is one of </w:t>
      </w:r>
      <w:r>
        <w:rPr>
          <w:rFonts w:ascii="Consolas" w:cs="Consolas" w:eastAsia="Consolas" w:hAnsi="Consolas"/>
          <w:b w:val="false"/>
          <w:bCs w:val="false"/>
          <w:i w:val="false"/>
          <w:iCs w:val="false"/>
          <w:color w:val="0f172a"/>
          <w:sz w:val="20"/>
          <w:szCs w:val="20"/>
          <w:shd w:fill="f1f5f9" w:val="clear"/>
        </w:rPr>
        <w:t xml:space="preserve">Won’t Do</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f1f5f9" w:val="clear"/>
        </w:rPr>
        <w:t xml:space="preserve">Cannot Reproduce</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f1f5f9" w:val="clear"/>
        </w:rPr>
        <w:t xml:space="preserve">Duplicate</w:t>
      </w:r>
      <w:r>
        <w:rPr>
          <w:b w:val="false"/>
          <w:bCs w:val="false"/>
          <w:i w:val="false"/>
          <w:iCs w:val="false"/>
          <w:sz w:val="22"/>
          <w:szCs w:val="22"/>
        </w:rPr>
        <w:t xml:space="preserve"> → Send web request with status </w:t>
      </w:r>
      <w:r>
        <w:rPr>
          <w:rFonts w:ascii="Consolas" w:cs="Consolas" w:eastAsia="Consolas" w:hAnsi="Consolas"/>
          <w:b w:val="false"/>
          <w:bCs w:val="false"/>
          <w:i w:val="false"/>
          <w:iCs w:val="false"/>
          <w:color w:val="0f172a"/>
          <w:sz w:val="20"/>
          <w:szCs w:val="20"/>
          <w:shd w:fill="f1f5f9" w:val="clear"/>
        </w:rPr>
        <w:t xml:space="preserve">ok</w:t>
      </w:r>
      <w:r>
        <w:rPr>
          <w:b w:val="false"/>
          <w:bCs w:val="false"/>
          <w:i w:val="false"/>
          <w:iCs w:val="false"/>
          <w:sz w:val="22"/>
          <w:szCs w:val="22"/>
        </w:rPr>
        <w:t xml:space="preserve">; Else → Send web request with status </w:t>
      </w:r>
      <w:r>
        <w:rPr>
          <w:rFonts w:ascii="Consolas" w:cs="Consolas" w:eastAsia="Consolas" w:hAnsi="Consolas"/>
          <w:b w:val="false"/>
          <w:bCs w:val="false"/>
          <w:i w:val="false"/>
          <w:iCs w:val="false"/>
          <w:color w:val="0f172a"/>
          <w:sz w:val="20"/>
          <w:szCs w:val="20"/>
          <w:shd w:fill="f1f5f9" w:val="clear"/>
        </w:rPr>
        <w:t xml:space="preserve">issue</w:t>
      </w:r>
      <w:r>
        <w:rPr>
          <w:b w:val="false"/>
          <w:bCs w:val="false"/>
          <w:i w:val="false"/>
          <w:iCs w:val="false"/>
          <w:sz w:val="22"/>
          <w:szCs w:val="22"/>
        </w:rPr>
        <w:t xml:space="preserve">. Settings for the action are below.</w:t>
      </w:r>
    </w:p>
    <w:p>
      <w:pPr>
        <w:pStyle w:val="ListParagraph"/>
        <w:numPr>
          <w:ilvl w:val="0"/>
          <w:numId w:val="7"/>
        </w:numPr>
        <w:spacing w:after="80"/>
      </w:pPr>
      <w:r>
        <w:rPr>
          <w:b w:val="false"/>
          <w:bCs w:val="false"/>
          <w:i w:val="false"/>
          <w:iCs w:val="false"/>
          <w:sz w:val="22"/>
          <w:szCs w:val="22"/>
        </w:rPr>
        <w:t xml:space="preserve">Optionally add a third rule: Issue transitioned to “To Do” or “Reopened” → Send web request with status </w:t>
      </w:r>
      <w:r>
        <w:rPr>
          <w:rFonts w:ascii="Consolas" w:cs="Consolas" w:eastAsia="Consolas" w:hAnsi="Consolas"/>
          <w:b w:val="false"/>
          <w:bCs w:val="false"/>
          <w:i w:val="false"/>
          <w:iCs w:val="false"/>
          <w:color w:val="0f172a"/>
          <w:sz w:val="20"/>
          <w:szCs w:val="20"/>
          <w:shd w:fill="f1f5f9" w:val="clear"/>
        </w:rPr>
        <w:t xml:space="preserve">open</w:t>
      </w:r>
      <w:r>
        <w:rPr>
          <w:b w:val="false"/>
          <w:bCs w:val="false"/>
          <w:i w:val="false"/>
          <w:iCs w:val="false"/>
          <w:sz w:val="22"/>
          <w:szCs w:val="22"/>
        </w:rPr>
        <w:t xml:space="preserv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rPr>
          <w:tblHeader/>
        </w:trPr>
        <w:tc>
          <w:tcPr>
            <w:tcW w:type="dxa" w:w="2800"/>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Send web request setting</w:t>
            </w:r>
          </w:p>
        </w:tc>
        <w:tc>
          <w:tcPr>
            <w:tcW w:type="dxa" w:w="6226"/>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Value</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Web request URL</w:t>
            </w:r>
          </w:p>
        </w:tc>
        <w:tc>
          <w:tcPr>
            <w:tcW w:type="dxa" w:w="6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f1f5f9" w:val="clear"/>
              </w:rPr>
              <w:t xml:space="preserve">https://plus.safetoopen.com/api/integrations/review</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HTTP method</w:t>
            </w:r>
          </w:p>
        </w:tc>
        <w:tc>
          <w:tcPr>
            <w:tcW w:type="dxa" w:w="6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POST</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Headers</w:t>
            </w:r>
          </w:p>
        </w:tc>
        <w:tc>
          <w:tcPr>
            <w:tcW w:type="dxa" w:w="6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f1f5f9" w:val="clear"/>
              </w:rPr>
              <w:t xml:space="preserve">Authorization: Bearer sto_live_…</w:t>
            </w:r>
            <w:r>
              <w:rPr>
                <w:b w:val="false"/>
                <w:bCs w:val="false"/>
                <w:i w:val="false"/>
                <w:iCs w:val="false"/>
                <w:color w:val="334155"/>
                <w:sz w:val="20"/>
                <w:szCs w:val="20"/>
              </w:rPr>
              <w:t xml:space="preserve"> (tick Hidden)   ·   </w:t>
            </w:r>
            <w:r>
              <w:rPr>
                <w:rFonts w:ascii="Consolas" w:cs="Consolas" w:eastAsia="Consolas" w:hAnsi="Consolas"/>
                <w:b w:val="false"/>
                <w:bCs w:val="false"/>
                <w:i w:val="false"/>
                <w:iCs w:val="false"/>
                <w:color w:val="0f172a"/>
                <w:sz w:val="18"/>
                <w:szCs w:val="18"/>
                <w:shd w:fill="f1f5f9" w:val="clear"/>
              </w:rPr>
              <w:t xml:space="preserve">Content-Type: application/json</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Web request body</w:t>
            </w:r>
          </w:p>
        </w:tc>
        <w:tc>
          <w:tcPr>
            <w:tcW w:type="dxa" w:w="6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Custom data</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Custom data</w:t>
            </w:r>
          </w:p>
        </w:tc>
        <w:tc>
          <w:tcPr>
            <w:tcW w:type="dxa" w:w="6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f1f5f9" w:val="clear"/>
              </w:rPr>
              <w:t xml:space="preserve">{"event_id": {{issue.SafeToOpen Event ID}}, "status": "issue"}</w:t>
            </w:r>
            <w:r>
              <w:rPr>
                <w:b w:val="false"/>
                <w:bCs w:val="false"/>
                <w:i w:val="false"/>
                <w:iCs w:val="false"/>
                <w:color w:val="334155"/>
                <w:sz w:val="20"/>
                <w:szCs w:val="20"/>
              </w:rPr>
              <w:t xml:space="preserve"> (or </w:t>
            </w:r>
            <w:r>
              <w:rPr>
                <w:rFonts w:ascii="Consolas" w:cs="Consolas" w:eastAsia="Consolas" w:hAnsi="Consolas"/>
                <w:b w:val="false"/>
                <w:bCs w:val="false"/>
                <w:i w:val="false"/>
                <w:iCs w:val="false"/>
                <w:color w:val="0f172a"/>
                <w:sz w:val="18"/>
                <w:szCs w:val="18"/>
                <w:shd w:fill="f1f5f9" w:val="clear"/>
              </w:rPr>
              <w:t xml:space="preserve">"ok"</w:t>
            </w:r>
            <w:r>
              <w:rPr>
                <w:b w:val="false"/>
                <w:bCs w:val="false"/>
                <w:i w:val="false"/>
                <w:iCs w:val="false"/>
                <w:color w:val="334155"/>
                <w:sz w:val="20"/>
                <w:szCs w:val="20"/>
              </w:rPr>
              <w:t xml:space="preserve"> / </w:t>
            </w:r>
            <w:r>
              <w:rPr>
                <w:rFonts w:ascii="Consolas" w:cs="Consolas" w:eastAsia="Consolas" w:hAnsi="Consolas"/>
                <w:b w:val="false"/>
                <w:bCs w:val="false"/>
                <w:i w:val="false"/>
                <w:iCs w:val="false"/>
                <w:color w:val="0f172a"/>
                <w:sz w:val="18"/>
                <w:szCs w:val="18"/>
                <w:shd w:fill="f1f5f9" w:val="clear"/>
              </w:rPr>
              <w:t xml:space="preserve">"open"</w:t>
            </w:r>
            <w:r>
              <w:rPr>
                <w:b w:val="false"/>
                <w:bCs w:val="false"/>
                <w:i w:val="false"/>
                <w:iCs w:val="false"/>
                <w:color w:val="334155"/>
                <w:sz w:val="20"/>
                <w:szCs w:val="20"/>
              </w:rPr>
              <w:t xml:space="preserve"> in the other branches)</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Wait for response</w:t>
            </w:r>
          </w:p>
        </w:tc>
        <w:tc>
          <w:tcPr>
            <w:tcW w:type="dxa" w:w="6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Ticked, so the audit log shows failures</w:t>
            </w:r>
          </w:p>
        </w:tc>
      </w:tr>
    </w:tbl>
    <w:p>
      <w:pPr>
        <w:pBdr>
          <w:left w:val="single" w:color="0f766e" w:sz="18" w:space="8"/>
        </w:pBdr>
        <w:shd w:fill="ecfeff" w:val="clear"/>
        <w:spacing w:after="160" w:before="80"/>
        <w:ind w:left="120"/>
      </w:pPr>
      <w:r>
        <w:rPr>
          <w:b/>
          <w:bCs/>
          <w:color w:val="0f766e"/>
          <w:sz w:val="22"/>
          <w:szCs w:val="22"/>
        </w:rPr>
        <w:t xml:space="preserve">Note: </w:t>
      </w:r>
      <w:r>
        <w:rPr>
          <w:b w:val="false"/>
          <w:bCs w:val="false"/>
          <w:i w:val="false"/>
          <w:iCs w:val="false"/>
          <w:sz w:val="22"/>
          <w:szCs w:val="22"/>
        </w:rPr>
        <w:t xml:space="preserve">A Number field may render as </w:t>
      </w:r>
      <w:r>
        <w:rPr>
          <w:rFonts w:ascii="Consolas" w:cs="Consolas" w:eastAsia="Consolas" w:hAnsi="Consolas"/>
          <w:b w:val="false"/>
          <w:bCs w:val="false"/>
          <w:i w:val="false"/>
          <w:iCs w:val="false"/>
          <w:color w:val="0f172a"/>
          <w:sz w:val="20"/>
          <w:szCs w:val="20"/>
          <w:shd w:fill="f1f5f9" w:val="clear"/>
        </w:rPr>
        <w:t xml:space="preserve">2640.0</w:t>
      </w:r>
      <w:r>
        <w:rPr>
          <w:b w:val="false"/>
          <w:bCs w:val="false"/>
          <w:i w:val="false"/>
          <w:iCs w:val="false"/>
          <w:sz w:val="22"/>
          <w:szCs w:val="22"/>
        </w:rPr>
        <w:t xml:space="preserve"> in the body; SafeToOpen accepts that. The endpoint returns 403 </w:t>
      </w:r>
      <w:r>
        <w:rPr>
          <w:rFonts w:ascii="Consolas" w:cs="Consolas" w:eastAsia="Consolas" w:hAnsi="Consolas"/>
          <w:b w:val="false"/>
          <w:bCs w:val="false"/>
          <w:i w:val="false"/>
          <w:iCs w:val="false"/>
          <w:color w:val="0f172a"/>
          <w:sz w:val="20"/>
          <w:szCs w:val="20"/>
          <w:shd w:fill="f1f5f9" w:val="clear"/>
        </w:rPr>
        <w:t xml:space="preserve">read_only_token</w:t>
      </w:r>
      <w:r>
        <w:rPr>
          <w:b w:val="false"/>
          <w:bCs w:val="false"/>
          <w:i w:val="false"/>
          <w:iCs w:val="false"/>
          <w:sz w:val="22"/>
          <w:szCs w:val="22"/>
        </w:rPr>
        <w:t xml:space="preserve"> if write-back was not enabled and 404 if the event is outside the token’s workspace scope. Each successful call is recorded in the SafeToOpen Activity log as “event reviewed … via api:Jira close-the-loop”.</w:t>
      </w:r>
    </w:p>
    <w:p>
      <w:pPr>
        <w:pStyle w:val="Heading3"/>
        <w:spacing w:after="80" w:before="200"/>
      </w:pPr>
      <w:r>
        <w:rPr>
          <w:color w:val="1e293b"/>
        </w:rPr>
        <w:t xml:space="preserve">Optional: block the URL when the issue is confirmed</w:t>
      </w:r>
    </w:p>
    <w:p>
      <w:pPr>
        <w:spacing w:after="120"/>
      </w:pPr>
      <w:r>
        <w:rPr>
          <w:b w:val="false"/>
          <w:bCs w:val="false"/>
          <w:i w:val="false"/>
          <w:iCs w:val="false"/>
          <w:sz w:val="22"/>
          <w:szCs w:val="22"/>
        </w:rPr>
        <w:t xml:space="preserve">Add a Send web request to the </w:t>
      </w:r>
      <w:r>
        <w:rPr>
          <w:rFonts w:ascii="Consolas" w:cs="Consolas" w:eastAsia="Consolas" w:hAnsi="Consolas"/>
          <w:b w:val="false"/>
          <w:bCs w:val="false"/>
          <w:i w:val="false"/>
          <w:iCs w:val="false"/>
          <w:color w:val="0f172a"/>
          <w:sz w:val="20"/>
          <w:szCs w:val="20"/>
          <w:shd w:fill="f1f5f9" w:val="clear"/>
        </w:rPr>
        <w:t xml:space="preserve">issue</w:t>
      </w:r>
      <w:r>
        <w:rPr>
          <w:b w:val="false"/>
          <w:bCs w:val="false"/>
          <w:i w:val="false"/>
          <w:iCs w:val="false"/>
          <w:sz w:val="22"/>
          <w:szCs w:val="22"/>
        </w:rPr>
        <w:t xml:space="preserve"> branch: POST </w:t>
      </w:r>
      <w:r>
        <w:rPr>
          <w:rFonts w:ascii="Consolas" w:cs="Consolas" w:eastAsia="Consolas" w:hAnsi="Consolas"/>
          <w:b w:val="false"/>
          <w:bCs w:val="false"/>
          <w:i w:val="false"/>
          <w:iCs w:val="false"/>
          <w:color w:val="0f172a"/>
          <w:sz w:val="20"/>
          <w:szCs w:val="20"/>
          <w:shd w:fill="f1f5f9" w:val="clear"/>
        </w:rPr>
        <w:t xml:space="preserve">https://plus.safetoopen.com/api/integrations/action</w:t>
      </w:r>
      <w:r>
        <w:rPr>
          <w:b w:val="false"/>
          <w:bCs w:val="false"/>
          <w:i w:val="false"/>
          <w:iCs w:val="false"/>
          <w:sz w:val="22"/>
          <w:szCs w:val="22"/>
        </w:rPr>
        <w:t xml:space="preserve"> with body </w:t>
      </w:r>
      <w:r>
        <w:rPr>
          <w:rFonts w:ascii="Consolas" w:cs="Consolas" w:eastAsia="Consolas" w:hAnsi="Consolas"/>
          <w:b w:val="false"/>
          <w:bCs w:val="false"/>
          <w:i w:val="false"/>
          <w:iCs w:val="false"/>
          <w:color w:val="0f172a"/>
          <w:sz w:val="20"/>
          <w:szCs w:val="20"/>
          <w:shd w:fill="f1f5f9" w:val="clear"/>
        </w:rPr>
        <w:t xml:space="preserve">{"action": "block_url", "url": "{{issue.SafeToOpen URL}}", "category": "phishing"}</w:t>
      </w:r>
      <w:r>
        <w:rPr>
          <w:b w:val="false"/>
          <w:bCs w:val="false"/>
          <w:i w:val="false"/>
          <w:iCs w:val="false"/>
          <w:sz w:val="22"/>
          <w:szCs w:val="22"/>
        </w:rPr>
        <w:t xml:space="preserve">. This needs an unscoped write-back token and a text field holding the original (non-defanged) URL; the relay can store it in such a field.</w:t>
      </w:r>
    </w:p>
    <w:p>
      <w:pPr>
        <w:pStyle w:val="Heading1"/>
        <w:spacing w:after="160" w:before="360"/>
      </w:pPr>
      <w:r>
        <w:rPr>
          <w:color w:val="1e293b"/>
        </w:rPr>
        <w:t xml:space="preserve">5. Jira Service Management</w:t>
      </w:r>
    </w:p>
    <w:p>
      <w:pPr>
        <w:spacing w:after="120"/>
      </w:pPr>
      <w:r>
        <w:rPr>
          <w:b w:val="false"/>
          <w:bCs w:val="false"/>
          <w:i w:val="false"/>
          <w:iCs w:val="false"/>
          <w:sz w:val="22"/>
          <w:szCs w:val="22"/>
        </w:rPr>
        <w:t xml:space="preserve">Both methods apply unchanged. Use the JSM project key and a request type instead of an issue type (in Method B set </w:t>
      </w:r>
      <w:r>
        <w:rPr>
          <w:rFonts w:ascii="Consolas" w:cs="Consolas" w:eastAsia="Consolas" w:hAnsi="Consolas"/>
          <w:b w:val="false"/>
          <w:bCs w:val="false"/>
          <w:i w:val="false"/>
          <w:iCs w:val="false"/>
          <w:color w:val="0f172a"/>
          <w:sz w:val="20"/>
          <w:szCs w:val="20"/>
          <w:shd w:fill="f1f5f9" w:val="clear"/>
        </w:rPr>
        <w:t xml:space="preserve">issuetype</w:t>
      </w:r>
      <w:r>
        <w:rPr>
          <w:b w:val="false"/>
          <w:bCs w:val="false"/>
          <w:i w:val="false"/>
          <w:iCs w:val="false"/>
          <w:sz w:val="22"/>
          <w:szCs w:val="22"/>
        </w:rPr>
        <w:t xml:space="preserve"> to the request type’s underlying issue type and optionally the </w:t>
      </w:r>
      <w:r>
        <w:rPr>
          <w:rFonts w:ascii="Consolas" w:cs="Consolas" w:eastAsia="Consolas" w:hAnsi="Consolas"/>
          <w:b w:val="false"/>
          <w:bCs w:val="false"/>
          <w:i w:val="false"/>
          <w:iCs w:val="false"/>
          <w:color w:val="0f172a"/>
          <w:sz w:val="20"/>
          <w:szCs w:val="20"/>
          <w:shd w:fill="f1f5f9" w:val="clear"/>
        </w:rPr>
        <w:t xml:space="preserve">customfield</w:t>
      </w:r>
      <w:r>
        <w:rPr>
          <w:b w:val="false"/>
          <w:bCs w:val="false"/>
          <w:i w:val="false"/>
          <w:iCs w:val="false"/>
          <w:sz w:val="22"/>
          <w:szCs w:val="22"/>
        </w:rPr>
        <w:t xml:space="preserve"> for request type). Customer-facing portals should not show the raw URL; keep the defanged form.</w:t>
      </w:r>
    </w:p>
    <w:p>
      <w:pPr>
        <w:pStyle w:val="Heading1"/>
        <w:spacing w:after="160" w:before="360"/>
      </w:pPr>
      <w:r>
        <w:rPr>
          <w:color w:val="1e293b"/>
        </w:rPr>
        <w:t xml:space="preserve">6. Test plan</w:t>
      </w:r>
    </w:p>
    <w:p>
      <w:pPr>
        <w:pStyle w:val="ListParagraph"/>
        <w:numPr>
          <w:ilvl w:val="0"/>
          <w:numId w:val="8"/>
        </w:numPr>
        <w:spacing w:after="80"/>
      </w:pPr>
      <w:r>
        <w:rPr>
          <w:b w:val="false"/>
          <w:bCs w:val="false"/>
          <w:i w:val="false"/>
          <w:iCs w:val="false"/>
          <w:sz w:val="22"/>
          <w:szCs w:val="22"/>
        </w:rPr>
        <w:t xml:space="preserve">Test button in SafeToOpen → 2xx, no issue created.</w:t>
      </w:r>
    </w:p>
    <w:p>
      <w:pPr>
        <w:pStyle w:val="ListParagraph"/>
        <w:numPr>
          <w:ilvl w:val="0"/>
          <w:numId w:val="8"/>
        </w:numPr>
        <w:spacing w:after="80"/>
      </w:pPr>
      <w:r>
        <w:rPr>
          <w:b w:val="false"/>
          <w:bCs w:val="false"/>
          <w:i w:val="false"/>
          <w:iCs w:val="false"/>
          <w:sz w:val="22"/>
          <w:szCs w:val="22"/>
        </w:rPr>
        <w:t xml:space="preserve">Trigger a flagged event from a test browser → an issue appears with the expected priority, labels and event id.</w:t>
      </w:r>
    </w:p>
    <w:p>
      <w:pPr>
        <w:pStyle w:val="ListParagraph"/>
        <w:numPr>
          <w:ilvl w:val="0"/>
          <w:numId w:val="8"/>
        </w:numPr>
        <w:spacing w:after="80"/>
      </w:pPr>
      <w:r>
        <w:rPr>
          <w:b w:val="false"/>
          <w:bCs w:val="false"/>
          <w:i w:val="false"/>
          <w:iCs w:val="false"/>
          <w:sz w:val="22"/>
          <w:szCs w:val="22"/>
        </w:rPr>
        <w:t xml:space="preserve">Redeliver the same delivery from the console → no duplicate issue.</w:t>
      </w:r>
    </w:p>
    <w:p>
      <w:pPr>
        <w:pStyle w:val="ListParagraph"/>
        <w:numPr>
          <w:ilvl w:val="0"/>
          <w:numId w:val="8"/>
        </w:numPr>
        <w:spacing w:after="80"/>
      </w:pPr>
      <w:r>
        <w:rPr>
          <w:b w:val="false"/>
          <w:bCs w:val="false"/>
          <w:i w:val="false"/>
          <w:iCs w:val="false"/>
          <w:sz w:val="22"/>
          <w:szCs w:val="22"/>
        </w:rPr>
        <w:t xml:space="preserve">Transition the issue to Done with resolution Done → the SafeToOpen Incidents page shows Confirmed issue; with Won’t Do → Reviewed, no issue.</w:t>
      </w:r>
    </w:p>
    <w:p>
      <w:pPr>
        <w:pStyle w:val="ListParagraph"/>
        <w:numPr>
          <w:ilvl w:val="0"/>
          <w:numId w:val="8"/>
        </w:numPr>
        <w:spacing w:after="80"/>
      </w:pPr>
      <w:r>
        <w:rPr>
          <w:b w:val="false"/>
          <w:bCs w:val="false"/>
          <w:i w:val="false"/>
          <w:iCs w:val="false"/>
          <w:sz w:val="22"/>
          <w:szCs w:val="22"/>
        </w:rPr>
        <w:t xml:space="preserve">Check the automation audit log for the web request response (200).</w:t>
      </w:r>
    </w:p>
    <w:p>
      <w:pPr>
        <w:pStyle w:val="Heading1"/>
        <w:spacing w:after="160" w:before="360"/>
      </w:pPr>
      <w:r>
        <w:rPr>
          <w:color w:val="1e293b"/>
        </w:rPr>
        <w:t xml:space="preserve">7. Troubleshooting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rPr>
          <w:tblHeader/>
        </w:trPr>
        <w:tc>
          <w:tcPr>
            <w:tcW w:type="dxa" w:w="3000"/>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Symptom</w:t>
            </w:r>
          </w:p>
        </w:tc>
        <w:tc>
          <w:tcPr>
            <w:tcW w:type="dxa" w:w="6026"/>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Fix</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Rule never runs</w:t>
            </w:r>
          </w:p>
        </w:tc>
        <w:tc>
          <w:tcPr>
            <w:tcW w:type="dxa" w:w="60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condition on </w:t>
            </w:r>
            <w:r>
              <w:rPr>
                <w:rFonts w:ascii="Consolas" w:cs="Consolas" w:eastAsia="Consolas" w:hAnsi="Consolas"/>
                <w:b w:val="false"/>
                <w:bCs w:val="false"/>
                <w:i w:val="false"/>
                <w:iCs w:val="false"/>
                <w:color w:val="0f172a"/>
                <w:sz w:val="18"/>
                <w:szCs w:val="18"/>
                <w:shd w:fill="f1f5f9" w:val="clear"/>
              </w:rPr>
              <w:t xml:space="preserve">{{webhookData.type}}</w:t>
            </w:r>
            <w:r>
              <w:rPr>
                <w:b w:val="false"/>
                <w:bCs w:val="false"/>
                <w:i w:val="false"/>
                <w:iCs w:val="false"/>
                <w:color w:val="334155"/>
                <w:sz w:val="20"/>
                <w:szCs w:val="20"/>
              </w:rPr>
              <w:t xml:space="preserve"> is misspelt, or the rule is off. Check the automation audit log for the incoming request.</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Duplicate issues</w:t>
            </w:r>
          </w:p>
        </w:tc>
        <w:tc>
          <w:tcPr>
            <w:tcW w:type="dxa" w:w="60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Lookup issues JQL does not match: confirm the custom field name and that the field is of type Number.</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Priority always Medium</w:t>
            </w:r>
          </w:p>
        </w:tc>
        <w:tc>
          <w:tcPr>
            <w:tcW w:type="dxa" w:w="60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If / else branches compare </w:t>
            </w:r>
            <w:r>
              <w:rPr>
                <w:rFonts w:ascii="Consolas" w:cs="Consolas" w:eastAsia="Consolas" w:hAnsi="Consolas"/>
                <w:b w:val="false"/>
                <w:bCs w:val="false"/>
                <w:i w:val="false"/>
                <w:iCs w:val="false"/>
                <w:color w:val="0f172a"/>
                <w:sz w:val="18"/>
                <w:szCs w:val="18"/>
                <w:shd w:fill="f1f5f9" w:val="clear"/>
              </w:rPr>
              <w:t xml:space="preserve">{{webhookData.event.severity}}</w:t>
            </w:r>
            <w:r>
              <w:rPr>
                <w:b w:val="false"/>
                <w:bCs w:val="false"/>
                <w:i w:val="false"/>
                <w:iCs w:val="false"/>
                <w:color w:val="334155"/>
                <w:sz w:val="20"/>
                <w:szCs w:val="20"/>
              </w:rPr>
              <w:t xml:space="preserve"> case-sensitively; values are lower-case.</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Send web request returns 401</w:t>
            </w:r>
          </w:p>
        </w:tc>
        <w:tc>
          <w:tcPr>
            <w:tcW w:type="dxa" w:w="60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Authorization header is missing the </w:t>
            </w:r>
            <w:r>
              <w:rPr>
                <w:rFonts w:ascii="Consolas" w:cs="Consolas" w:eastAsia="Consolas" w:hAnsi="Consolas"/>
                <w:b w:val="false"/>
                <w:bCs w:val="false"/>
                <w:i w:val="false"/>
                <w:iCs w:val="false"/>
                <w:color w:val="0f172a"/>
                <w:sz w:val="18"/>
                <w:szCs w:val="18"/>
                <w:shd w:fill="f1f5f9" w:val="clear"/>
              </w:rPr>
              <w:t xml:space="preserve">Bearer </w:t>
            </w:r>
            <w:r>
              <w:rPr>
                <w:b w:val="false"/>
                <w:bCs w:val="false"/>
                <w:i w:val="false"/>
                <w:iCs w:val="false"/>
                <w:color w:val="334155"/>
                <w:sz w:val="20"/>
                <w:szCs w:val="20"/>
              </w:rPr>
              <w:t xml:space="preserve"> prefix, or the token was rotated.</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Relay: SafeToOpen test shows 401</w:t>
            </w:r>
          </w:p>
        </w:tc>
        <w:tc>
          <w:tcPr>
            <w:tcW w:type="dxa" w:w="60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relay is verifying a re-serialised body or the secret has whitespace. Verify the raw bytes exactly as received.</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Relay: Jira 400 on create</w:t>
            </w:r>
          </w:p>
        </w:tc>
        <w:tc>
          <w:tcPr>
            <w:tcW w:type="dxa" w:w="60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Field id or issue type name is wrong for this project; check </w:t>
            </w:r>
            <w:r>
              <w:rPr>
                <w:rFonts w:ascii="Consolas" w:cs="Consolas" w:eastAsia="Consolas" w:hAnsi="Consolas"/>
                <w:b w:val="false"/>
                <w:bCs w:val="false"/>
                <w:i w:val="false"/>
                <w:iCs w:val="false"/>
                <w:color w:val="0f172a"/>
                <w:sz w:val="18"/>
                <w:szCs w:val="18"/>
                <w:shd w:fill="f1f5f9" w:val="clear"/>
              </w:rPr>
              <w:t xml:space="preserve">/rest/api/3/issue/createmeta</w:t>
            </w:r>
            <w:r>
              <w:rPr>
                <w:b w:val="false"/>
                <w:bCs w:val="false"/>
                <w:i w:val="false"/>
                <w:iCs w:val="false"/>
                <w:color w:val="334155"/>
                <w:sz w:val="20"/>
                <w:szCs w:val="20"/>
              </w:rPr>
              <w:t xml:space="preserve">.</w:t>
            </w:r>
          </w:p>
        </w:tc>
      </w:tr>
    </w:tbl>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Jira Integration Guide  ·  Online version: https://plus.safetoopen.com/docs/browser-security/integrations/  ·  Page </w:t>
    </w:r>
    <w:r>
      <w:rPr>
        <w:color w:val="64748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abstractNum w:abstractNumId="3" w15:restartNumberingAfterBreak="0">
    <w:multiLevelType w:val="hybridMultilevel"/>
    <w:lvl w:ilvl="0" w15:tentative="1">
      <w:start w:val="1"/>
      <w:numFmt w:val="decimal"/>
      <w:lvlText w:val="%1."/>
      <w:lvlJc w:val="left"/>
      <w:pPr>
        <w:ind w:left="504"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Jira Integration Guide</dc:title>
  <dc:creator>SafeToOpen</dc:creator>
  <cp:lastModifiedBy>Un-named</cp:lastModifiedBy>
  <cp:revision>1</cp:revision>
  <dcterms:created xsi:type="dcterms:W3CDTF">2026-09-02T22:00:07.290Z</dcterms:created>
  <dcterms:modified xsi:type="dcterms:W3CDTF">2026-09-02T22:00:07.291Z</dcterms:modified>
</cp:coreProperties>
</file>

<file path=docProps/custom.xml><?xml version="1.0" encoding="utf-8"?>
<Properties xmlns="http://schemas.openxmlformats.org/officeDocument/2006/custom-properties" xmlns:vt="http://schemas.openxmlformats.org/officeDocument/2006/docPropsVTypes"/>
</file>