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c40a1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1c40a1"/>
          <w:sz w:val="34"/>
          <w:szCs w:val="34"/>
        </w:rPr>
        <w:t xml:space="preserve">MSP Operations: Overview, Linked Organisations and Administrator Access</w:t>
      </w:r>
    </w:p>
    <w:p>
      <w:pPr>
        <w:spacing w:after="60"/>
        <w:jc w:val="center"/>
      </w:pPr>
      <w:r>
        <w:rPr>
          <w:color w:val="5b6275"/>
          <w:sz w:val="24"/>
          <w:szCs w:val="24"/>
        </w:rPr>
        <w:t xml:space="preserve">One screen across every organisation you administer, MSP-wide blocking, and administrator rights that follow your identity provider</w:t>
      </w:r>
    </w:p>
    <w:p>
      <w:pPr>
        <w:spacing w:after="400"/>
        <w:jc w:val="center"/>
      </w:pPr>
      <w:r>
        <w:rPr>
          <w:color w:val="5b6275"/>
          <w:sz w:val="20"/>
          <w:szCs w:val="20"/>
        </w:rPr>
        <w:t xml:space="preserve">Guide 7 of 7  ·  April 2026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An MSP administers several SafeToOpen organisations, usually one per client. Three console features make that manageable: an overview across all of them, links between organisations so a confirmed threat is blocked everywhere at once, and administrator access that follows a group in your own identity provider so staff who leave lose access without anyone remembering to remove them.</w:t>
      </w:r>
    </w:p>
    <w:p>
      <w:pPr>
        <w:pStyle w:val="Heading1"/>
        <w:spacing w:after="160" w:before="360"/>
      </w:pPr>
      <w:r>
        <w:rPr>
          <w:color w:val="1c40a1"/>
        </w:rPr>
        <w:t xml:space="preserve">1. MSP overview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Browser Security console → Organisation → MSP overview. It lists every organisation where your account is an owner or co-admin, for both products, read-only.</w:t>
      </w:r>
    </w:p>
    <w:tbl>
      <w:tblPr>
        <w:tblW w:type="dxa" w:w="9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000"/>
        <w:gridCol w:w="3426"/>
      </w:tblGrid>
      <w:tr>
        <w:trPr>
          <w:tblHeader/>
        </w:trPr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Column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Browser Security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Email Security</w:t>
            </w:r>
          </w:p>
        </w:tc>
      </w:tr>
      <w:tr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Seats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Used (members plus the owner) against the plan; red when over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Plus and Executive seats used against the plan</w:t>
            </w:r>
          </w:p>
        </w:tc>
      </w:tr>
      <w:tr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Open (30d)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Incidents still open from the last 30 days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Same</w:t>
            </w:r>
          </w:p>
        </w:tc>
      </w:tr>
      <w:tr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Last incident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Date of the newest incident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Same</w:t>
            </w:r>
          </w:p>
        </w:tc>
      </w:tr>
      <w:tr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Feeds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Threat feeds configured, with the URLs they have blocked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Connectors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Response connectors, with how many are untested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Response connectors</w:t>
            </w:r>
          </w:p>
        </w:tc>
      </w:tr>
      <w:tr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Rules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Live and dry-run response rules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Same</w:t>
            </w:r>
          </w:p>
        </w:tc>
      </w:tr>
      <w:tr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Actions (7d)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Response actions run in the last 7 days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Devices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Devices enrolled unattended through MDM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Health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Healthy, or flags: plan expired, critical incidents open, feed errors, connector errors, failed actions, over seats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Same, without feeds and actions</w:t>
            </w:r>
          </w:p>
        </w:tc>
      </w:tr>
    </w:tbl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Your own console’s organisation is marked “this console”; others show whether they are linked (section 2). The screen does not switch the console between organisations: every page of the console works on the organisation your account belongs to, so acting on another organisation means signing in as an administrator of that one.</w:t>
      </w:r>
    </w:p>
    <w:p>
      <w:pPr>
        <w:pStyle w:val="Heading1"/>
        <w:spacing w:after="160" w:before="360"/>
      </w:pPr>
      <w:r>
        <w:rPr>
          <w:color w:val="1c40a1"/>
        </w:rPr>
        <w:t xml:space="preserve">2. Linked organisations and MSP-wide blocking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Browser Security console → Organisation → Response actions → Linked organisations. Every organisation where you are an owner or co-admin is listed; click Link. Linking is mutual and needs admin rights in both, which is what keeps it safe.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Add the built-in connector “SafeToOpen blocked list (all workspaces)”; it needs no credentials.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Add a rule: on Confirm, severity high, action “Block the URL in every workspace (and linked organisations)”, scope “This organisation and every linked organisation”. Start in dry run.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When an analyst confirms an incident, the URL goes onto each linked organisation’s own Block/Unblock list, which the extension enforces in every workspace within minutes. The action log names each organisation; Undo removes the URL from all of them. Manual entries on those lists are never touched.</w:t>
      </w:r>
    </w:p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Links only carry blocking. Incidents, people and settings stay within each organisation; the overview is the only cross-organisation read.</w:t>
      </w:r>
    </w:p>
    <w:p>
      <w:pPr>
        <w:pStyle w:val="Heading1"/>
        <w:spacing w:after="160" w:before="360"/>
      </w:pPr>
      <w:r>
        <w:rPr>
          <w:color w:val="1c40a1"/>
        </w:rPr>
        <w:t xml:space="preserve">3. Administrator access through your identity provider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Settings → Administrator access, on both consoles, for the plan owner. Two switches, usable separately.</w:t>
      </w:r>
    </w:p>
    <w:p>
      <w:pPr>
        <w:pStyle w:val="Heading2"/>
        <w:spacing w:after="120" w:before="280"/>
      </w:pPr>
      <w:r>
        <w:rPr>
          <w:color w:val="1c40a1"/>
        </w:rPr>
        <w:t xml:space="preserve">3a. Co-admins that follow a group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Connect the directory first: Microsoft 365 for Browser Security; Microsoft 365 or Google Workspace for Email Security (the same connection used to import people).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Choose the connection and the group whose members should be co-admins, for example “SafeToOpen Admins”, then Use this group. The first sync runs at once and hourly afterwards, with the directory sync; Sync now forces one.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Members of the group become co-admins; people who leave the group lose access at the next sync and their console sessions are ended. Co-admins added by hand are never removed by the sync.</w:t>
      </w:r>
    </w:p>
    <w:tbl>
      <w:tblPr>
        <w:tblW w:type="dxa" w:w="9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726"/>
      </w:tblGrid>
      <w:tr>
        <w:trPr>
          <w:tblHeader/>
        </w:trP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Rule</w:t>
            </w:r>
          </w:p>
        </w:tc>
        <w:tc>
          <w:tcPr>
            <w:tcW w:type="dxa" w:w="67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Effect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Account required</w:t>
            </w:r>
          </w:p>
        </w:tc>
        <w:tc>
          <w:tcPr>
            <w:tcW w:type="dxa" w:w="67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 group member with no SafeToOpen account yet is listed as skipped until they sign in once with Microsoft or Google.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Browser Security membership</w:t>
            </w:r>
          </w:p>
        </w:tc>
        <w:tc>
          <w:tcPr>
            <w:tcW w:type="dxa" w:w="67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Browser Security co-admins must be active members of the organisation; others are listed as skipped.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Limits</w:t>
            </w:r>
          </w:p>
        </w:tc>
        <w:tc>
          <w:tcPr>
            <w:tcW w:type="dxa" w:w="67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Browser Security allows 3 co-admins, Email Security 25; the sync stops at the limit and reports it.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Owner</w:t>
            </w:r>
          </w:p>
        </w:tc>
        <w:tc>
          <w:tcPr>
            <w:tcW w:type="dxa" w:w="67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owner is never added or removed by the sync.</w:t>
            </w:r>
          </w:p>
        </w:tc>
      </w:tr>
    </w:tbl>
    <w:p>
      <w:pPr>
        <w:pStyle w:val="Heading2"/>
        <w:spacing w:after="120" w:before="280"/>
      </w:pPr>
      <w:r>
        <w:rPr>
          <w:color w:val="1c40a1"/>
        </w:rPr>
        <w:t xml:space="preserve">3b. Require SSO for administrators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Turning on “Require administrators to sign in with Microsoft or Google” refuses password sign-in for the organisation’s owner and co-admins with a message pointing at the sign-in buttons. Access then ends when the identity-provider account does. The console will not enable it until your own account has a Microsoft or Google sign-in linked, so you cannot lock yourself out. It applies to the console only; add-in and extension users are unaffected.</w:t>
      </w:r>
    </w:p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This is group-driven access on top of Microsoft and Google sign-in, which covers the leaver problem for Microsoft 365 and Google Workspace shops. It is not SAML federation with an arbitrary identity provider, and there is no SCIM endpoint; say so to customers who ask for those by name.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275"/>
        <w:sz w:val="16"/>
        <w:szCs w:val="16"/>
      </w:rPr>
      <w:t xml:space="preserve">MSP Operations  ·  Online version: https://plus.safetoopen.com/docs/browser-security/integrations/  ·  Page </w:t>
    </w:r>
    <w:r>
      <w:rPr>
        <w:color w:val="5b627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MSP Operations</dc:title>
  <dc:creator>SafeToOpen</dc:creator>
  <cp:lastModifiedBy>Un-named</cp:lastModifiedBy>
  <cp:revision>1</cp:revision>
  <dcterms:created xsi:type="dcterms:W3CDTF">2026-09-08T02:14:55.428Z</dcterms:created>
  <dcterms:modified xsi:type="dcterms:W3CDTF">2026-09-08T02:14:55.428Z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