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c40a1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1c40a1"/>
          <w:sz w:val="34"/>
          <w:szCs w:val="34"/>
        </w:rPr>
        <w:t xml:space="preserve">Workspace policies and branding</w:t>
      </w:r>
    </w:p>
    <w:p>
      <w:pPr>
        <w:spacing w:after="60"/>
        <w:jc w:val="center"/>
      </w:pPr>
      <w:r>
        <w:rPr>
          <w:color w:val="5b6275"/>
          <w:sz w:val="24"/>
          <w:szCs w:val="24"/>
        </w:rPr>
        <w:t xml:space="preserve">The five enforced behaviours, the deferred verdict, the URL scan service, logo, names, colours and the branded add-in, report inboxes, alert recipients and analysts, and what applies in Outlook versus Gmail</w:t>
      </w:r>
    </w:p>
    <w:p>
      <w:pPr>
        <w:spacing w:after="400"/>
        <w:jc w:val="center"/>
      </w:pPr>
      <w:r>
        <w:rPr>
          <w:color w:val="5b6275"/>
          <w:sz w:val="20"/>
          <w:szCs w:val="20"/>
        </w:rPr>
        <w:t xml:space="preserve">Guide 4 of 7  ·  April 2026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Everything here is set in Console → Workspaces. The organisation default applies to every member without a workspace-level setting; a workspace overrides only the fields you fill in. Changes reach the add-in at its next check-in, within a minute; the branded add-in identity (name, button, icon) is the one exception and needs a manifest re-upload (guide 2).</w:t>
      </w:r>
    </w:p>
    <w:p>
      <w:pPr>
        <w:pStyle w:val="Heading1"/>
        <w:spacing w:after="160" w:before="360"/>
      </w:pPr>
      <w:r>
        <w:rPr>
          <w:color w:val="1c40a1"/>
        </w:rPr>
        <w:t xml:space="preserve">1. Behaviour policies</w:t>
      </w:r>
    </w:p>
    <w:tbl>
      <w:tblPr>
        <w:tblW w:type="dxa" w:w="9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300"/>
        <w:gridCol w:w="2826"/>
      </w:tblGrid>
      <w:tr>
        <w:trPr>
          <w:tblHeader/>
        </w:trPr>
        <w:tc>
          <w:tcPr>
            <w:tcW w:type="dxa" w:w="2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Policy</w:t>
            </w:r>
          </w:p>
        </w:tc>
        <w:tc>
          <w:tcPr>
            <w:tcW w:type="dxa" w:w="4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When on</w:t>
            </w:r>
          </w:p>
        </w:tc>
        <w:tc>
          <w:tcPr>
            <w:tcW w:type="dxa" w:w="28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What the user sees</w:t>
            </w:r>
          </w:p>
        </w:tc>
      </w:tr>
      <w:tr>
        <w:tc>
          <w:tcPr>
            <w:tcW w:type="dxa" w:w="2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Automatic Deeper Analysis</w:t>
            </w:r>
          </w:p>
        </w:tc>
        <w:tc>
          <w:tcPr>
            <w:tcW w:type="dxa" w:w="4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Every opened message on an Executive seat runs Deeper Analysis without a click. The quick score is shown as “Still analysing…” until the final verdict; a verdict can only get stricter.</w:t>
            </w:r>
          </w:p>
        </w:tc>
        <w:tc>
          <w:tcPr>
            <w:tcW w:type="dxa" w:w="28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toggle is shown on but greyed out with “managed by your organisation”.</w:t>
            </w:r>
          </w:p>
        </w:tc>
      </w:tr>
      <w:tr>
        <w:tc>
          <w:tcPr>
            <w:tcW w:type="dxa" w:w="2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Auto-forward unsafe emails</w:t>
            </w:r>
          </w:p>
        </w:tc>
        <w:tc>
          <w:tcPr>
            <w:tcW w:type="dxa" w:w="4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Messages with a final verdict of Dangerous are forwarded to the workspace report inbox automatically and recorded as an “auto-forwarded by policy” incident.</w:t>
            </w:r>
          </w:p>
        </w:tc>
        <w:tc>
          <w:tcPr>
            <w:tcW w:type="dxa" w:w="28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Nothing; a note in the panel says the message was forwarded.</w:t>
            </w:r>
          </w:p>
        </w:tc>
      </w:tr>
      <w:tr>
        <w:tc>
          <w:tcPr>
            <w:tcW w:type="dxa" w:w="2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Tag results</w:t>
            </w:r>
          </w:p>
        </w:tc>
        <w:tc>
          <w:tcPr>
            <w:tcW w:type="dxa" w:w="4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verdict is written to the message as a category (Outlook) or label (Gmail).</w:t>
            </w:r>
          </w:p>
        </w:tc>
        <w:tc>
          <w:tcPr>
            <w:tcW w:type="dxa" w:w="28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Category or label on the message.</w:t>
            </w:r>
          </w:p>
        </w:tc>
      </w:tr>
      <w:tr>
        <w:tc>
          <w:tcPr>
            <w:tcW w:type="dxa" w:w="2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Auto-scan links</w:t>
            </w:r>
          </w:p>
        </w:tc>
        <w:tc>
          <w:tcPr>
            <w:tcW w:type="dxa" w:w="4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Links in the message are checked without the user clicking Scan.</w:t>
            </w:r>
          </w:p>
        </w:tc>
        <w:tc>
          <w:tcPr>
            <w:tcW w:type="dxa" w:w="28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Link results appear with the score.</w:t>
            </w:r>
          </w:p>
        </w:tc>
      </w:tr>
      <w:tr>
        <w:tc>
          <w:tcPr>
            <w:tcW w:type="dxa" w:w="2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Security tips</w:t>
            </w:r>
          </w:p>
        </w:tc>
        <w:tc>
          <w:tcPr>
            <w:tcW w:type="dxa" w:w="4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Contextual tips are shown with each verdict.</w:t>
            </w:r>
          </w:p>
        </w:tc>
        <w:tc>
          <w:tcPr>
            <w:tcW w:type="dxa" w:w="28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Tips block in the panel.</w:t>
            </w:r>
          </w:p>
        </w:tc>
      </w:tr>
    </w:tbl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policy left blank in both the workspace and the organisation default leaves the choice with the user.</w:t>
      </w:r>
    </w:p>
    <w:tbl>
      <w:tblPr>
        <w:tblW w:type="dxa" w:w="9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200"/>
        <w:gridCol w:w="3126"/>
      </w:tblGrid>
      <w:tr>
        <w:trPr>
          <w:tblHeader/>
        </w:trPr>
        <w:tc>
          <w:tcPr>
            <w:tcW w:type="dxa" w:w="2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Policy</w:t>
            </w:r>
          </w:p>
        </w:tc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Outlook</w:t>
            </w:r>
          </w:p>
        </w:tc>
        <w:tc>
          <w:tcPr>
            <w:tcW w:type="dxa" w:w="3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Gmail</w:t>
            </w:r>
          </w:p>
        </w:tc>
      </w:tr>
      <w:tr>
        <w:tc>
          <w:tcPr>
            <w:tcW w:type="dxa" w:w="2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Automatic Deeper Analysis</w:t>
            </w:r>
          </w:p>
        </w:tc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Yes, with the “Still analysing…” hold until the final verdict</w:t>
            </w:r>
          </w:p>
        </w:tc>
        <w:tc>
          <w:tcPr>
            <w:tcW w:type="dxa" w:w="3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Yes; the analysis runs right after the scan and updates the panel</w:t>
            </w:r>
          </w:p>
        </w:tc>
      </w:tr>
      <w:tr>
        <w:tc>
          <w:tcPr>
            <w:tcW w:type="dxa" w:w="2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Auto-forward unsafe emails</w:t>
            </w:r>
          </w:p>
        </w:tc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</w:t>
            </w:r>
          </w:p>
        </w:tc>
        <w:tc>
          <w:tcPr>
            <w:tcW w:type="dxa" w:w="3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</w:t>
            </w:r>
          </w:p>
        </w:tc>
      </w:tr>
      <w:tr>
        <w:tc>
          <w:tcPr>
            <w:tcW w:type="dxa" w:w="2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Tag results</w:t>
            </w:r>
          </w:p>
        </w:tc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Outlook category</w:t>
            </w:r>
          </w:p>
        </w:tc>
        <w:tc>
          <w:tcPr>
            <w:tcW w:type="dxa" w:w="3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Gmail label; the personal labels toggle is greyed out</w:t>
            </w:r>
          </w:p>
        </w:tc>
      </w:tr>
      <w:tr>
        <w:tc>
          <w:tcPr>
            <w:tcW w:type="dxa" w:w="2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Auto-scan links</w:t>
            </w:r>
          </w:p>
        </w:tc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</w:t>
            </w:r>
          </w:p>
        </w:tc>
        <w:tc>
          <w:tcPr>
            <w:tcW w:type="dxa" w:w="3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Not applicable; the Gmail panel always checks links with the scan</w:t>
            </w:r>
          </w:p>
        </w:tc>
      </w:tr>
      <w:tr>
        <w:tc>
          <w:tcPr>
            <w:tcW w:type="dxa" w:w="2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Security tips</w:t>
            </w:r>
          </w:p>
        </w:tc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</w:t>
            </w:r>
          </w:p>
        </w:tc>
        <w:tc>
          <w:tcPr>
            <w:tcW w:type="dxa" w:w="3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Not applicable; the Gmail panel has no tips block</w:t>
            </w:r>
          </w:p>
        </w:tc>
      </w:tr>
      <w:tr>
        <w:tc>
          <w:tcPr>
            <w:tcW w:type="dxa" w:w="2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Branding (name, logo, tagline, colours)</w:t>
            </w:r>
          </w:p>
        </w:tc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</w:t>
            </w:r>
          </w:p>
        </w:tc>
        <w:tc>
          <w:tcPr>
            <w:tcW w:type="dxa" w:w="3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</w:t>
            </w:r>
          </w:p>
        </w:tc>
      </w:tr>
      <w:tr>
        <w:tc>
          <w:tcPr>
            <w:tcW w:type="dxa" w:w="2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Add-in name and button label</w:t>
            </w:r>
          </w:p>
        </w:tc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Yes, via the branded manifest</w:t>
            </w:r>
          </w:p>
        </w:tc>
        <w:tc>
          <w:tcPr>
            <w:tcW w:type="dxa" w:w="3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Not applicable; the Marketplace listing name is fixed</w:t>
            </w:r>
          </w:p>
        </w:tc>
      </w:tr>
      <w:tr>
        <w:tc>
          <w:tcPr>
            <w:tcW w:type="dxa" w:w="2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URL scan service</w:t>
            </w:r>
          </w:p>
        </w:tc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</w:t>
            </w:r>
          </w:p>
        </w:tc>
        <w:tc>
          <w:tcPr>
            <w:tcW w:type="dxa" w:w="3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Yes</w:t>
            </w:r>
          </w:p>
        </w:tc>
      </w:tr>
    </w:tbl>
    <w:p>
      <w:pPr>
        <w:pStyle w:val="Heading1"/>
        <w:spacing w:after="160" w:before="360"/>
      </w:pPr>
      <w:r>
        <w:rPr>
          <w:color w:val="1c40a1"/>
        </w:rPr>
        <w:t xml:space="preserve">2. URL scan service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Every link the add-in checks, and every link preview it shows, goes to a scan service. By default that is SafeToOpen’s scanner. A workspace (or the organisation default) can name another https address, for example a regional scanner or one you host, and both add-ins send that workspace’s link checks there. The console shows the current default as the placeholder, so leaving the field blank always means the SafeToOpen scanner (or, for a workspace, the organisation default).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alternative service must answer the same request and response contract as the default; the add-ins do not adapt to a different one.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blank or invalid value is ignored by the add-in, which falls back to the default, so a wrong policy cannot stop link checks.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Changes reach members at their next check-in, within a minute; no manifest change is needed.</w:t>
      </w:r>
    </w:p>
    <w:p>
      <w:pPr>
        <w:pStyle w:val="Heading1"/>
        <w:spacing w:after="160" w:before="360"/>
      </w:pPr>
      <w:r>
        <w:rPr>
          <w:color w:val="1c40a1"/>
        </w:rPr>
        <w:t xml:space="preserve">3. Branding</w:t>
      </w:r>
    </w:p>
    <w:tbl>
      <w:tblPr>
        <w:tblW w:type="dxa" w:w="9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126"/>
      </w:tblGrid>
      <w:tr>
        <w:trPr>
          <w:tblHeader/>
        </w:trPr>
        <w:tc>
          <w:tcPr>
            <w:tcW w:type="dxa" w:w="3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6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Where it appears</w:t>
            </w:r>
          </w:p>
        </w:tc>
      </w:tr>
      <w:tr>
        <w:tc>
          <w:tcPr>
            <w:tcW w:type="dxa" w:w="3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Display name</w:t>
            </w:r>
          </w:p>
        </w:tc>
        <w:tc>
          <w:tcPr>
            <w:tcW w:type="dxa" w:w="6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Panel header, “&lt;name&gt; Email Security”, and the default add-in name</w:t>
            </w:r>
          </w:p>
        </w:tc>
      </w:tr>
      <w:tr>
        <w:tc>
          <w:tcPr>
            <w:tcW w:type="dxa" w:w="3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Logo</w:t>
            </w:r>
          </w:p>
        </w:tc>
        <w:tc>
          <w:tcPr>
            <w:tcW w:type="dxa" w:w="6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Panel header and the scanning animation; also resized into the add-in icons of the branded manifest</w:t>
            </w:r>
          </w:p>
        </w:tc>
      </w:tr>
      <w:tr>
        <w:tc>
          <w:tcPr>
            <w:tcW w:type="dxa" w:w="3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Tagline</w:t>
            </w:r>
          </w:p>
        </w:tc>
        <w:tc>
          <w:tcPr>
            <w:tcW w:type="dxa" w:w="6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Under the display name in the panel</w:t>
            </w:r>
          </w:p>
        </w:tc>
      </w:tr>
      <w:tr>
        <w:tc>
          <w:tcPr>
            <w:tcW w:type="dxa" w:w="3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Accent and secondary colours</w:t>
            </w:r>
          </w:p>
        </w:tc>
        <w:tc>
          <w:tcPr>
            <w:tcW w:type="dxa" w:w="6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Buttons, score bar and highlights in the panel</w:t>
            </w:r>
          </w:p>
        </w:tc>
      </w:tr>
      <w:tr>
        <w:tc>
          <w:tcPr>
            <w:tcW w:type="dxa" w:w="3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Add-in name and button label</w:t>
            </w:r>
          </w:p>
        </w:tc>
        <w:tc>
          <w:tcPr>
            <w:tcW w:type="dxa" w:w="6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Outlook ribbon and app list, via the branded manifest (guide 2, section 2b); not applicable to Gmail</w:t>
            </w:r>
          </w:p>
        </w:tc>
      </w:tr>
      <w:tr>
        <w:tc>
          <w:tcPr>
            <w:tcW w:type="dxa" w:w="30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URL scan service</w:t>
            </w:r>
          </w:p>
        </w:tc>
        <w:tc>
          <w:tcPr>
            <w:tcW w:type="dxa" w:w="61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Where link checks and previews are sent (section 2)</w:t>
            </w:r>
          </w:p>
        </w:tc>
      </w:tr>
    </w:tbl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Console → Workspaces → the workspace (or Organisation default) → Policies &amp; branding.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Upload a PNG or SVG logo, set names and colours, Save. For Outlook, download the manifest and deploy it to that workspace’s group.</w:t>
      </w:r>
    </w:p>
    <w:p>
      <w:pPr>
        <w:pStyle w:val="Heading1"/>
        <w:spacing w:after="160" w:before="360"/>
      </w:pPr>
      <w:r>
        <w:rPr>
          <w:color w:val="1c40a1"/>
        </w:rPr>
        <w:t xml:space="preserve">4. Report inbox, alerts and analysts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Report inbox —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Report inbox: where user reports and auto-forwards for the workspace are sent, for example a SOC or MSP mailbox. Blank uses the organisation default from Settings; blank there sends reports to SafeToOpen’s analysts.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Alerts —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Alert recipients: who receives incident alerts for the workspace, in real time or as a daily or weekly digest, above a minimum severity. Set on the Workspaces page; the organisation default lives in Settings.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Analysts —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Analysts: people who may see and triage the workspace’s incidents in the console, and nothing else. Grant and revoke on the Workspaces page; they are emailed on both.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275"/>
        <w:sz w:val="16"/>
        <w:szCs w:val="16"/>
      </w:rPr>
      <w:t xml:space="preserve">Workspace Policies and Branding  ·  Online version: https://plus.safetoopen.com/docs/email-security/deployment/  ·  Page </w:t>
    </w:r>
    <w:r>
      <w:rPr>
        <w:color w:val="5b627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Workspace Policies and Branding</dc:title>
  <dc:creator>SafeToOpen</dc:creator>
  <cp:lastModifiedBy>Un-named</cp:lastModifiedBy>
  <cp:revision>1</cp:revision>
  <dcterms:created xsi:type="dcterms:W3CDTF">2026-09-08T02:14:55.743Z</dcterms:created>
  <dcterms:modified xsi:type="dcterms:W3CDTF">2026-09-08T02:14:55.743Z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