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900"/>
        <w:jc w:val="center"/>
      </w:pPr>
      <w:r>
        <w:rPr>
          <w:b/>
          <w:bCs/>
          <w:color w:val="1c40a1"/>
          <w:sz w:val="40"/>
          <w:szCs w:val="40"/>
        </w:rPr>
        <w:t xml:space="preserve">SafeToOpen Browser Security</w:t>
      </w:r>
    </w:p>
    <w:p>
      <w:pPr>
        <w:spacing w:after="60"/>
        <w:jc w:val="center"/>
      </w:pPr>
      <w:r>
        <w:rPr>
          <w:b/>
          <w:bCs/>
          <w:color w:val="1c40a1"/>
          <w:sz w:val="34"/>
          <w:szCs w:val="34"/>
        </w:rPr>
        <w:t xml:space="preserve">Incidents, alerts and integrations</w:t>
      </w:r>
    </w:p>
    <w:p>
      <w:pPr>
        <w:spacing w:after="60"/>
        <w:jc w:val="center"/>
      </w:pPr>
      <w:r>
        <w:rPr>
          <w:color w:val="5b6275"/>
          <w:sz w:val="24"/>
          <w:szCs w:val="24"/>
        </w:rPr>
        <w:t xml:space="preserve">What becomes an incident, severities, alert cadence, and feeding events to ticketing and SIEM tools</w:t>
      </w:r>
    </w:p>
    <w:p>
      <w:pPr>
        <w:spacing w:after="400"/>
        <w:jc w:val="center"/>
      </w:pPr>
      <w:r>
        <w:rPr>
          <w:color w:val="5b6275"/>
          <w:sz w:val="20"/>
          <w:szCs w:val="20"/>
        </w:rPr>
        <w:t xml:space="preserve">Guide 5 of 7  ·  April 2026</w:t>
      </w:r>
    </w:p>
    <w:p>
      <w:pPr>
        <w:pStyle w:val="Heading1"/>
        <w:spacing w:after="160" w:before="360"/>
      </w:pPr>
      <w:r>
        <w:rPr>
          <w:color w:val="1c40a1"/>
        </w:rPr>
        <w:t xml:space="preserve">1. What becomes an incident</w:t>
      </w:r>
    </w:p>
    <w:tbl>
      <w:tblPr>
        <w:tblW w:type="dxa" w:w="91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4200"/>
        <w:gridCol w:w="2326"/>
      </w:tblGrid>
      <w:tr>
        <w:trPr>
          <w:tblHeader/>
        </w:trPr>
        <w:tc>
          <w:tcPr>
            <w:tcW w:type="dxa" w:w="26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c40a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Kind</w:t>
            </w:r>
          </w:p>
        </w:tc>
        <w:tc>
          <w:tcPr>
            <w:tcW w:type="dxa" w:w="4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c40a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Source</w:t>
            </w:r>
          </w:p>
        </w:tc>
        <w:tc>
          <w:tcPr>
            <w:tcW w:type="dxa" w:w="23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c40a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Severity</w:t>
            </w:r>
          </w:p>
        </w:tc>
      </w:tr>
      <w:tr>
        <w:tc>
          <w:tcPr>
            <w:tcW w:type="dxa" w:w="26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User report</w:t>
            </w:r>
          </w:p>
        </w:tc>
        <w:tc>
          <w:tcPr>
            <w:tcW w:type="dxa" w:w="4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The person clicked Report in the panel</w:t>
            </w:r>
          </w:p>
        </w:tc>
        <w:tc>
          <w:tcPr>
            <w:tcW w:type="dxa" w:w="23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High</w:t>
            </w:r>
          </w:p>
        </w:tc>
      </w:tr>
      <w:tr>
        <w:tc>
          <w:tcPr>
            <w:tcW w:type="dxa" w:w="26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User report (false positive)</w:t>
            </w:r>
          </w:p>
        </w:tc>
        <w:tc>
          <w:tcPr>
            <w:tcW w:type="dxa" w:w="4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The person disputed a verdict</w:t>
            </w:r>
          </w:p>
        </w:tc>
        <w:tc>
          <w:tcPr>
            <w:tcW w:type="dxa" w:w="23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Low</w:t>
            </w:r>
          </w:p>
        </w:tc>
      </w:tr>
      <w:tr>
        <w:tc>
          <w:tcPr>
            <w:tcW w:type="dxa" w:w="26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Auto-forwarded by policy</w:t>
            </w:r>
          </w:p>
        </w:tc>
        <w:tc>
          <w:tcPr>
            <w:tcW w:type="dxa" w:w="4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Auto-forward policy sent a Dangerous message to the report inbox</w:t>
            </w:r>
          </w:p>
        </w:tc>
        <w:tc>
          <w:tcPr>
            <w:tcW w:type="dxa" w:w="23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High</w:t>
            </w:r>
          </w:p>
        </w:tc>
      </w:tr>
      <w:tr>
        <w:tc>
          <w:tcPr>
            <w:tcW w:type="dxa" w:w="26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Dangerous verdict</w:t>
            </w:r>
          </w:p>
        </w:tc>
        <w:tc>
          <w:tcPr>
            <w:tcW w:type="dxa" w:w="4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Scan score in the dangerous band</w:t>
            </w:r>
          </w:p>
        </w:tc>
        <w:tc>
          <w:tcPr>
            <w:tcW w:type="dxa" w:w="23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Critical when the score is very low, otherwise High</w:t>
            </w:r>
          </w:p>
        </w:tc>
      </w:tr>
      <w:tr>
        <w:tc>
          <w:tcPr>
            <w:tcW w:type="dxa" w:w="26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Suspicious verdict</w:t>
            </w:r>
          </w:p>
        </w:tc>
        <w:tc>
          <w:tcPr>
            <w:tcW w:type="dxa" w:w="4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Scan score in the caution band</w:t>
            </w:r>
          </w:p>
        </w:tc>
        <w:tc>
          <w:tcPr>
            <w:tcW w:type="dxa" w:w="23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Medium</w:t>
            </w:r>
          </w:p>
        </w:tc>
      </w:tr>
      <w:tr>
        <w:tc>
          <w:tcPr>
            <w:tcW w:type="dxa" w:w="26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Executive impersonation</w:t>
            </w:r>
          </w:p>
        </w:tc>
        <w:tc>
          <w:tcPr>
            <w:tcW w:type="dxa" w:w="4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Deeper Analysis alert zone on an Executive seat</w:t>
            </w:r>
          </w:p>
        </w:tc>
        <w:tc>
          <w:tcPr>
            <w:tcW w:type="dxa" w:w="23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Critical</w:t>
            </w:r>
          </w:p>
        </w:tc>
      </w:tr>
      <w:tr>
        <w:tc>
          <w:tcPr>
            <w:tcW w:type="dxa" w:w="26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Executive review</w:t>
            </w:r>
          </w:p>
        </w:tc>
        <w:tc>
          <w:tcPr>
            <w:tcW w:type="dxa" w:w="4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Deeper Analysis review zone</w:t>
            </w:r>
          </w:p>
        </w:tc>
        <w:tc>
          <w:tcPr>
            <w:tcW w:type="dxa" w:w="23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Medium</w:t>
            </w:r>
          </w:p>
        </w:tc>
      </w:tr>
    </w:tbl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The same message seen again within 24 hours updates the existing incident rather than creating a second one. When automatic Deeper Analysis is enforced, the quick scan and the analysis produce one merged incident. Incidents carry the sender, subject, reasons and workspace, never the message body; the original email is not stored.</w:t>
      </w:r>
    </w:p>
    <w:p>
      <w:pPr>
        <w:pStyle w:val="Heading1"/>
        <w:spacing w:after="160" w:before="360"/>
      </w:pPr>
      <w:r>
        <w:rPr>
          <w:color w:val="1c40a1"/>
        </w:rPr>
        <w:t xml:space="preserve">2. Alerts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Settings → Incident alerts: recipients, cadence (real time, daily, weekly) and minimum severity for the organisation.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Workspaces → a workspace → Alert recipients to route that workspace’s alerts elsewhere, for example to an MSP client contact.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Alert emails link to the incident in the console; analysts open it directly.</w:t>
      </w:r>
    </w:p>
    <w:p>
      <w:pPr>
        <w:pStyle w:val="Heading1"/>
        <w:spacing w:after="160" w:before="360"/>
      </w:pPr>
      <w:r>
        <w:rPr>
          <w:color w:val="1c40a1"/>
        </w:rPr>
        <w:t xml:space="preserve">3. Responding to a confirmed incident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Every incident detail ends with a Response panel. Once a Microsoft 365 connector exists (guide 7), the panel shows which actions will run when you click Confirm issue, offers each action for a one-off manual run, and lists what has already been done with an Undo where the action is reversible. Typical rules: on Confirm at severity high, junk the sender in the affected mailbox; for executive impersonation, junk the sender for every member; where the person clicked through and entered credentials, sign them out everywhere and require a password change.</w:t>
      </w:r>
    </w:p>
    <w:p>
      <w:pPr>
        <w:pStyle w:val="Heading1"/>
        <w:spacing w:after="160" w:before="360"/>
      </w:pPr>
      <w:r>
        <w:rPr>
          <w:color w:val="1c40a1"/>
        </w:rPr>
        <w:t xml:space="preserve">4. Integrations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Console → Integrations (Email Security) offers the same three routes as Browser Security, scoped to Email Security events: pull with an export token, push with a signed webhook, and email-to-ticket via the alert recipients. Event type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email_security.flagged_event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; formats JSON, OCSF, ECS and CEF; STIX indicators for sender addresses and domains; write-back of triage status from your ticketing tool.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Tokens and webhooks created on the Email Security Integrations page carry only Email Security events; Browser Security ones stay separate, so one SIEM can consume both with distinct sources.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Signature verification, polling, field reference and error codes are documented once in the Browser Security integration reference; the payload differs only in the event type and the email-specific fields (sender, subject, verdict, kind, workspace).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Reference: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https://plus.safetoopen.com/docs/browser-security/integrations/reference.html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.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The Browser Security side has the same response framework plus a hosted blocklist for firewalls; see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https://plus.safetoopen.com/docs/browser-security/integrations/response-actions.html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b6275"/>
        <w:sz w:val="16"/>
        <w:szCs w:val="16"/>
      </w:rPr>
      <w:t xml:space="preserve">Incidents, Alerts and Integrations  ·  Online version: https://plus.safetoopen.com/docs/email-security/deployment/  ·  Page </w:t>
    </w:r>
    <w:r>
      <w:rPr>
        <w:color w:val="5b627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Incidents, Alerts and Integrations</dc:title>
  <dc:creator>SafeToOpen</dc:creator>
  <cp:lastModifiedBy>Un-named</cp:lastModifiedBy>
  <cp:revision>1</cp:revision>
  <dcterms:created xsi:type="dcterms:W3CDTF">2026-09-08T02:14:55.814Z</dcterms:created>
  <dcterms:modified xsi:type="dcterms:W3CDTF">2026-09-08T02:14:55.814Z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